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522FE1" w14:textId="77777777" w:rsidR="00D40A47" w:rsidRDefault="00D40A47" w:rsidP="00D40A47">
      <w:pPr>
        <w:spacing w:after="0" w:line="360" w:lineRule="auto"/>
        <w:jc w:val="both"/>
        <w:rPr>
          <w:rFonts w:ascii="Times New Roman" w:hAnsi="Times New Roman" w:cs="Times New Roman"/>
          <w:sz w:val="26"/>
          <w:szCs w:val="26"/>
        </w:rPr>
      </w:pPr>
      <w:r>
        <w:rPr>
          <w:rFonts w:ascii="Times New Roman" w:eastAsiaTheme="majorEastAsia" w:hAnsi="Times New Roman" w:cs="Times New Roman"/>
          <w:b/>
          <w:bCs/>
          <w:sz w:val="26"/>
          <w:szCs w:val="26"/>
        </w:rPr>
        <w:t>Data source</w:t>
      </w:r>
    </w:p>
    <w:p w14:paraId="7A03C804" w14:textId="77777777" w:rsidR="00D40A47" w:rsidRDefault="00D40A47" w:rsidP="00D40A47">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2016 Ethiopia Demographic and Health Survey (EDHS) data was used for the analysis. The 2016 EDHS sample was stratified in to Urban and Rural areas and selected in two stages. In the first stage, a total of 645 enumeration areas (EAs) having an average of 181 households were selected with probability proportional to EA size (202 of them were from urban areas while 443 were rural). In the second stage, 28 households per EA were selected using systematic sampling. In all the selected households, height and weight measures were taken from 9494 children aged below 59 months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&lt;EndNote&gt;&lt;Cite&gt;&lt;Author&gt;EDHS&lt;/Author&gt;&lt;Year&gt;2016&lt;/Year&gt;&lt;RecNum&gt;12&lt;/RecNum&gt;&lt;DisplayText&gt;[17]&lt;/DisplayText&gt;&lt;record&gt;&lt;rec-number&gt;12&lt;/rec-number&gt;&lt;foreign-keys&gt;&lt;key app="EN" db-id="zwaxde5zbtfw95evpxn5e9rdz9wxxxrd2zta"&gt;12&lt;/key&gt;&lt;/foreign-keys&gt;&lt;ref-type name="Report"&gt;27&lt;/ref-type&gt;&lt;contributors&gt;&lt;authors&gt;&lt;author&gt;EDHS&lt;/author&gt;&lt;/authors&gt;&lt;/contributors&gt;&lt;titles&gt;&lt;title&gt;Ethiopian Demographic and health survey report&lt;/title&gt;&lt;/titles&gt;&lt;dates&gt;&lt;year&gt;2016&lt;/year&gt;&lt;/dates&gt;&lt;urls&gt;&lt;/urls&gt;&lt;/record&gt;&lt;/Cite&gt;&lt;/EndNote&gt;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7" w:tooltip="EDHS, 2016 #12" w:history="1">
        <w:r>
          <w:rPr>
            <w:rFonts w:ascii="Times New Roman" w:hAnsi="Times New Roman" w:cs="Times New Roman"/>
            <w:noProof/>
            <w:sz w:val="24"/>
            <w:szCs w:val="24"/>
          </w:rPr>
          <w:t>17</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 Based on the household and women’s questionnaire, the c</w:t>
      </w:r>
      <w:r>
        <w:rPr>
          <w:rFonts w:ascii="Times New Roman" w:hAnsi="Times New Roman" w:cs="Times New Roman"/>
          <w:bCs/>
          <w:sz w:val="24"/>
          <w:szCs w:val="24"/>
        </w:rPr>
        <w:t>hildren’s data including</w:t>
      </w:r>
      <w:r>
        <w:rPr>
          <w:rFonts w:ascii="Times New Roman" w:hAnsi="Times New Roman" w:cs="Times New Roman"/>
          <w:sz w:val="24"/>
          <w:szCs w:val="24"/>
        </w:rPr>
        <w:t xml:space="preserve"> its complete anthropometric and valid age was</w:t>
      </w:r>
      <w:r w:rsidRPr="00C94385">
        <w:rPr>
          <w:rFonts w:ascii="Times New Roman" w:hAnsi="Times New Roman" w:cs="Times New Roman"/>
          <w:sz w:val="24"/>
          <w:szCs w:val="24"/>
        </w:rPr>
        <w:t xml:space="preserve"> </w:t>
      </w:r>
      <w:r>
        <w:rPr>
          <w:rFonts w:ascii="Times New Roman" w:hAnsi="Times New Roman" w:cs="Times New Roman"/>
          <w:sz w:val="24"/>
          <w:szCs w:val="24"/>
        </w:rPr>
        <w:t>analyzed. The household and women’s survey questionnaire are two questionnaires among five (</w:t>
      </w:r>
      <w:r w:rsidRPr="007F41C0">
        <w:rPr>
          <w:rFonts w:ascii="Times New Roman" w:hAnsi="Times New Roman" w:cs="Times New Roman"/>
          <w:sz w:val="24"/>
          <w:szCs w:val="24"/>
        </w:rPr>
        <w:t>the Household Questionnaire, the Woman’s Questionnaire, the Man’s Questionnair</w:t>
      </w:r>
      <w:r>
        <w:rPr>
          <w:rFonts w:ascii="Times New Roman" w:hAnsi="Times New Roman" w:cs="Times New Roman"/>
          <w:sz w:val="24"/>
          <w:szCs w:val="24"/>
        </w:rPr>
        <w:t xml:space="preserve">e, the Biomarker Questionnaire, </w:t>
      </w:r>
      <w:r w:rsidRPr="007F41C0">
        <w:rPr>
          <w:rFonts w:ascii="Times New Roman" w:hAnsi="Times New Roman" w:cs="Times New Roman"/>
          <w:sz w:val="24"/>
          <w:szCs w:val="24"/>
        </w:rPr>
        <w:t>and the Health Facility Questionnaire</w:t>
      </w:r>
      <w:r>
        <w:rPr>
          <w:rFonts w:ascii="Times New Roman" w:hAnsi="Times New Roman" w:cs="Times New Roman"/>
          <w:sz w:val="24"/>
          <w:szCs w:val="24"/>
        </w:rPr>
        <w:t xml:space="preserve">) that developed by Ethiopian Central Statistical Agency </w:t>
      </w:r>
      <w:r w:rsidRPr="00C61DB3">
        <w:rPr>
          <w:rFonts w:ascii="Times New Roman" w:hAnsi="Times New Roman" w:cs="Times New Roman"/>
          <w:sz w:val="24"/>
          <w:szCs w:val="24"/>
        </w:rPr>
        <w:t>to reflect the population and health issues relevant to Ethiopia</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&lt;EndNote&gt;&lt;Cite&gt;&lt;Author&gt;EDHS&lt;/Author&gt;&lt;Year&gt;2016&lt;/Year&gt;&lt;RecNum&gt;12&lt;/RecNum&gt;&lt;DisplayText&gt;[17]&lt;/DisplayText&gt;&lt;record&gt;&lt;rec-number&gt;12&lt;/rec-number&gt;&lt;foreign-keys&gt;&lt;key app="EN" db-id="zwaxde5zbtfw95evpxn5e9rdz9wxxxrd2zta"&gt;12&lt;/key&gt;&lt;/foreign-keys&gt;&lt;ref-type name="Report"&gt;27&lt;/ref-type&gt;&lt;contributors&gt;&lt;authors&gt;&lt;author&gt;EDHS&lt;/author&gt;&lt;/authors&gt;&lt;/contributors&gt;&lt;titles&gt;&lt;title&gt;Ethiopian Demographic and health survey report&lt;/title&gt;&lt;/titles&gt;&lt;dates&gt;&lt;year&gt;2016&lt;/year&gt;&lt;/dates&gt;&lt;urls&gt;&lt;/urls&gt;&lt;/record&gt;&lt;/Cite&gt;&lt;/EndNote&gt;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7" w:tooltip="EDHS, 2016 #12" w:history="1">
        <w:r>
          <w:rPr>
            <w:rFonts w:ascii="Times New Roman" w:hAnsi="Times New Roman" w:cs="Times New Roman"/>
            <w:noProof/>
            <w:sz w:val="24"/>
            <w:szCs w:val="24"/>
          </w:rPr>
          <w:t>17</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w:t>
      </w:r>
    </w:p>
    <w:p w14:paraId="7E1D3643" w14:textId="77777777" w:rsidR="00D40A47" w:rsidRDefault="00D40A47" w:rsidP="00D40A47">
      <w:pPr>
        <w:autoSpaceDE w:val="0"/>
        <w:autoSpaceDN w:val="0"/>
        <w:adjustRightInd w:val="0"/>
        <w:spacing w:after="0" w:line="360" w:lineRule="auto"/>
        <w:jc w:val="both"/>
        <w:rPr>
          <w:rFonts w:ascii="Times New Roman" w:hAnsi="Times New Roman" w:cs="Times New Roman"/>
          <w:b/>
          <w:sz w:val="26"/>
          <w:szCs w:val="26"/>
        </w:rPr>
      </w:pPr>
      <w:r>
        <w:rPr>
          <w:rFonts w:ascii="Times New Roman" w:hAnsi="Times New Roman" w:cs="Times New Roman"/>
          <w:b/>
          <w:sz w:val="26"/>
          <w:szCs w:val="26"/>
        </w:rPr>
        <w:t>Variables</w:t>
      </w:r>
    </w:p>
    <w:p w14:paraId="41B7AF70" w14:textId="77777777" w:rsidR="00D40A47" w:rsidRDefault="00D40A47" w:rsidP="00D40A47">
      <w:pPr>
        <w:autoSpaceDE w:val="0"/>
        <w:autoSpaceDN w:val="0"/>
        <w:adjustRightInd w:val="0"/>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Dependent variables</w:t>
      </w:r>
    </w:p>
    <w:p w14:paraId="3ED22258" w14:textId="77777777" w:rsidR="00D40A47" w:rsidRDefault="00D40A47" w:rsidP="00D40A47">
      <w:pPr>
        <w:autoSpaceDE w:val="0"/>
        <w:autoSpaceDN w:val="0"/>
        <w:adjustRightInd w:val="0"/>
        <w:spacing w:after="0" w:line="360" w:lineRule="auto"/>
        <w:jc w:val="both"/>
        <w:rPr>
          <w:rFonts w:ascii="Times New Roman" w:hAnsi="Times New Roman" w:cs="Times New Roman"/>
          <w:sz w:val="24"/>
          <w:szCs w:val="24"/>
        </w:rPr>
      </w:pPr>
      <w:bookmarkStart w:id="0" w:name="_Toc202714570"/>
      <w:bookmarkStart w:id="1" w:name="_Toc202699054"/>
      <w:r>
        <w:rPr>
          <w:rFonts w:ascii="Times New Roman" w:hAnsi="Times New Roman" w:cs="Times New Roman"/>
          <w:sz w:val="24"/>
          <w:szCs w:val="24"/>
        </w:rPr>
        <w:t xml:space="preserve">The three anthropometric variables are measured through z-scores of height-for-age, weight-for height and weight-for-age and are defined as: </w:t>
      </w:r>
      <w:r w:rsidRPr="00F8457D">
        <w:rPr>
          <w:rFonts w:ascii="Times New Roman" w:hAnsi="Times New Roman" w:cs="Times New Roman"/>
          <w:position w:val="-24"/>
          <w:sz w:val="24"/>
          <w:szCs w:val="24"/>
        </w:rPr>
        <w:object w:dxaOrig="1339" w:dyaOrig="640" w14:anchorId="652F96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28.5pt" o:ole="">
            <v:imagedata r:id="rId4" o:title=""/>
          </v:shape>
          <o:OLEObject Type="Embed" ProgID="Equation.3" ShapeID="_x0000_i1025" DrawAspect="Content" ObjectID="_1646161819" r:id="rId5"/>
        </w:object>
      </w:r>
      <w:r>
        <w:rPr>
          <w:rFonts w:ascii="Times New Roman" w:hAnsi="Times New Roman" w:cs="Times New Roman"/>
          <w:sz w:val="24"/>
          <w:szCs w:val="24"/>
        </w:rPr>
        <w:t xml:space="preserve">, where </w:t>
      </w:r>
      <w:r>
        <w:rPr>
          <w:rFonts w:ascii="Cambria Math" w:hAnsi="Cambria Math" w:cs="Cambria Math"/>
          <w:sz w:val="24"/>
          <w:szCs w:val="24"/>
        </w:rPr>
        <w:t>𝐴𝐼</w:t>
      </w:r>
      <w:proofErr w:type="spellStart"/>
      <w:r>
        <w:rPr>
          <w:rFonts w:ascii="Times New Roman" w:hAnsi="Times New Roman" w:cs="Times New Roman"/>
          <w:sz w:val="24"/>
          <w:szCs w:val="24"/>
          <w:vertAlign w:val="subscript"/>
        </w:rPr>
        <w:t>i</w:t>
      </w:r>
      <w:proofErr w:type="spellEnd"/>
      <w:r>
        <w:rPr>
          <w:rFonts w:ascii="Times New Roman" w:hAnsi="Times New Roman" w:cs="Times New Roman"/>
          <w:sz w:val="24"/>
          <w:szCs w:val="24"/>
        </w:rPr>
        <w:t xml:space="preserve"> is the child anthropometric indicator, </w:t>
      </w:r>
      <w:r>
        <w:rPr>
          <w:rFonts w:ascii="Cambria Math" w:hAnsi="Cambria Math" w:cs="Cambria Math"/>
          <w:sz w:val="24"/>
          <w:szCs w:val="24"/>
        </w:rPr>
        <w:t>𝜇</w:t>
      </w:r>
      <w:r>
        <w:rPr>
          <w:rFonts w:ascii="Times New Roman" w:hAnsi="Times New Roman" w:cs="Times New Roman"/>
          <w:sz w:val="24"/>
          <w:szCs w:val="24"/>
        </w:rPr>
        <w:t xml:space="preserve"> and </w:t>
      </w:r>
      <w:r>
        <w:rPr>
          <w:rFonts w:ascii="Cambria Math" w:hAnsi="Cambria Math" w:cs="Cambria Math"/>
          <w:sz w:val="24"/>
          <w:szCs w:val="24"/>
        </w:rPr>
        <w:t>𝜎</w:t>
      </w:r>
      <w:r>
        <w:rPr>
          <w:rFonts w:ascii="Times New Roman" w:hAnsi="Times New Roman" w:cs="Times New Roman"/>
          <w:sz w:val="24"/>
          <w:szCs w:val="24"/>
        </w:rPr>
        <w:t xml:space="preserve"> refer respectively to median and standard deviation of the reference population.  </w:t>
      </w:r>
    </w:p>
    <w:p w14:paraId="1E7C6ED3" w14:textId="77777777" w:rsidR="00D40A47" w:rsidRDefault="00D40A47" w:rsidP="00D40A4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correlations between the three anthropometric variables are statistically significant (Table 1) and it is reasonable that a single composite index was created from HAZ, WHZ and WAZ using principal component analysis </w:t>
      </w:r>
      <w:r>
        <w:rPr>
          <w:rFonts w:ascii="Times New Roman" w:hAnsi="Times New Roman" w:cs="Times New Roman"/>
          <w:sz w:val="24"/>
          <w:szCs w:val="24"/>
        </w:rPr>
        <w:fldChar w:fldCharType="begin">
          <w:fldData xml:space="preserve">PEVuZE5vdGU+PENpdGU+PEF1dGhvcj5HdXptYW4tQ2FzdGlsbG88L0F1dGhvcj48WWVhcj4yMDE1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PEVuZE5vdGU+PENpdGU+PEF1dGhvcj5HdXptYW4tQ2FzdGlsbG88L0F1dGhvcj48WWVhcj4yMDE1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18" w:tooltip="Guzman-Castillo, 2015 #13" w:history="1">
        <w:r>
          <w:rPr>
            <w:rFonts w:ascii="Times New Roman" w:hAnsi="Times New Roman" w:cs="Times New Roman"/>
            <w:noProof/>
            <w:sz w:val="24"/>
            <w:szCs w:val="24"/>
          </w:rPr>
          <w:t>18-20</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 xml:space="preserve">. The first component alone explains 65.7% (Table 1) of the total variation of all anthropometric indices and this figure is significantly high enough to create a single composite index of under-nutrition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&lt;EndNote&gt;&lt;Cite&gt;&lt;Author&gt;Long&lt;/Author&gt;&lt;Year&gt;2006&lt;/Year&gt;&lt;RecNum&gt;16&lt;/RecNum&gt;&lt;DisplayText&gt;[21]&lt;/DisplayText&gt;&lt;record&gt;&lt;rec-number&gt;16&lt;/rec-number&gt;&lt;foreign-keys&gt;&lt;key app="EN" db-id="zwaxde5zbtfw95evpxn5e9rdz9wxxxrd2zta"&gt;16&lt;/key&gt;&lt;/foreign-keys&gt;&lt;ref-type name="Book"&gt;6&lt;/ref-type&gt;&lt;contributors&gt;&lt;authors&gt;&lt;author&gt;Long, Scott J&lt;/author&gt;&lt;author&gt;Long, J Scott&lt;/author&gt;&lt;author&gt;Freese, Jeremy&lt;/author&gt;&lt;/authors&gt;&lt;/contributors&gt;&lt;titles&gt;&lt;title&gt;Regression models for categorical dependent variables using Stata&lt;/title&gt;&lt;/titles&gt;&lt;dates&gt;&lt;year&gt;2006&lt;/year&gt;&lt;/dates&gt;&lt;publisher&gt;Stata press&lt;/publisher&gt;&lt;isbn&gt;1597180114&lt;/isbn&gt;&lt;urls&gt;&lt;/urls&gt;&lt;/record&gt;&lt;/Cite&gt;&lt;/EndNote&gt;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21" w:tooltip="Long, 2006 #16" w:history="1">
        <w:r>
          <w:rPr>
            <w:rFonts w:ascii="Times New Roman" w:hAnsi="Times New Roman" w:cs="Times New Roman"/>
            <w:noProof/>
            <w:sz w:val="24"/>
            <w:szCs w:val="24"/>
          </w:rPr>
          <w:t>21</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 xml:space="preserve">. Therefore, 0.81HAZ+0.55WAZ+0.15WHZ was taken as a new single composite index of under-nutrition which was again classified as nutrition status (severely undernourished if z-score &lt;-3, moderately undernourished if -3≤ z-score &lt;-2.0 and nourished if z-score ≥ -2.0). Then, the transformed variable was re-coded into ordinary outcome as ‘1’=nourished, ‘2’=moderately undernourished and ‘3’=severely undernourished. The methodology for computing the indicators was based on the 2006 WHO Child Growth Standards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&lt;EndNote&gt;&lt;Cite&gt;&lt;Author&gt;Organization&lt;/Author&gt;&lt;Year&gt;2006&lt;/Year&gt;&lt;RecNum&gt;2&lt;/RecNum&gt;&lt;DisplayText&gt;[2]&lt;/DisplayText&gt;&lt;record&gt;&lt;rec-number&gt;2&lt;/rec-number&gt;&lt;foreign-keys&gt;&lt;key app="EN" db-id="zwaxde5zbtfw95evpxn5e9rdz9wxxxrd2zta"&gt;2&lt;/key&gt;&lt;/foreign-keys&gt;&lt;ref-type name="Journal Article"&gt;17&lt;/ref-type&gt;&lt;contributors&gt;&lt;authors&gt;&lt;author&gt;World Health Organization&lt;/author&gt;&lt;/authors&gt;&lt;/contributors&gt;&lt;titles&gt;&lt;title&gt;WHO child growth standards: length/height-for-age, weight-for-age, weight-for-length, weight-for-height and body mass index-for-age: methods and development&lt;/title&gt;&lt;/titles&gt;&lt;dates&gt;&lt;year&gt;2006&lt;/year&gt;&lt;/dates&gt;&lt;urls&gt;&lt;/urls&gt;&lt;/record&gt;&lt;/Cite&gt;&lt;/EndNote&gt;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sz w:val="24"/>
          <w:szCs w:val="24"/>
        </w:rPr>
        <w:t>[</w:t>
      </w:r>
      <w:hyperlink w:anchor="_ENREF_2" w:tooltip="Organization, 2006 #2" w:history="1">
        <w:r>
          <w:rPr>
            <w:rFonts w:ascii="Times New Roman" w:hAnsi="Times New Roman" w:cs="Times New Roman"/>
            <w:sz w:val="24"/>
            <w:szCs w:val="24"/>
          </w:rPr>
          <w:t>2</w:t>
        </w:r>
      </w:hyperlink>
      <w:r>
        <w:rPr>
          <w:rFonts w:ascii="Times New Roman" w:hAnsi="Times New Roman" w:cs="Times New Roman"/>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w:t>
      </w:r>
    </w:p>
    <w:p w14:paraId="26B45ADD" w14:textId="77777777" w:rsidR="00D40A47" w:rsidRPr="001865E3" w:rsidRDefault="00D40A47" w:rsidP="00D40A47">
      <w:pPr>
        <w:spacing w:after="0" w:line="360" w:lineRule="auto"/>
        <w:jc w:val="both"/>
        <w:rPr>
          <w:rFonts w:ascii="Times New Roman" w:hAnsi="Times New Roman" w:cs="Times New Roman"/>
          <w:sz w:val="24"/>
          <w:szCs w:val="24"/>
        </w:rPr>
      </w:pPr>
      <w:r w:rsidRPr="001865E3">
        <w:rPr>
          <w:rFonts w:ascii="Times New Roman" w:hAnsi="Times New Roman" w:cs="Times New Roman"/>
          <w:sz w:val="24"/>
          <w:szCs w:val="24"/>
        </w:rPr>
        <w:t>Table 1: Eigen value, PC and correlation of the three anthropometric variables</w:t>
      </w:r>
    </w:p>
    <w:tbl>
      <w:tblPr>
        <w:tblStyle w:val="TableGrid"/>
        <w:tblW w:w="0" w:type="auto"/>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40"/>
        <w:gridCol w:w="1260"/>
        <w:gridCol w:w="1350"/>
        <w:gridCol w:w="540"/>
        <w:gridCol w:w="1440"/>
        <w:gridCol w:w="1800"/>
        <w:gridCol w:w="1620"/>
      </w:tblGrid>
      <w:tr w:rsidR="00D40A47" w:rsidRPr="00D82796" w14:paraId="0E807CEA" w14:textId="77777777" w:rsidTr="00DB1117">
        <w:trPr>
          <w:jc w:val="center"/>
        </w:trPr>
        <w:tc>
          <w:tcPr>
            <w:tcW w:w="1440" w:type="dxa"/>
            <w:tcBorders>
              <w:top w:val="single" w:sz="4" w:space="0" w:color="auto"/>
              <w:bottom w:val="single" w:sz="4" w:space="0" w:color="auto"/>
            </w:tcBorders>
            <w:shd w:val="clear" w:color="auto" w:fill="A6A6A6" w:themeFill="background1" w:themeFillShade="A6"/>
          </w:tcPr>
          <w:p w14:paraId="700E8B53"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lastRenderedPageBreak/>
              <w:t>Eigen value</w:t>
            </w:r>
          </w:p>
        </w:tc>
        <w:tc>
          <w:tcPr>
            <w:tcW w:w="1260" w:type="dxa"/>
            <w:tcBorders>
              <w:top w:val="single" w:sz="4" w:space="0" w:color="auto"/>
              <w:bottom w:val="single" w:sz="4" w:space="0" w:color="auto"/>
            </w:tcBorders>
            <w:shd w:val="clear" w:color="auto" w:fill="A6A6A6" w:themeFill="background1" w:themeFillShade="A6"/>
          </w:tcPr>
          <w:p w14:paraId="7903F472"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Proportion</w:t>
            </w:r>
          </w:p>
        </w:tc>
        <w:tc>
          <w:tcPr>
            <w:tcW w:w="1350" w:type="dxa"/>
            <w:tcBorders>
              <w:top w:val="single" w:sz="4" w:space="0" w:color="auto"/>
              <w:bottom w:val="single" w:sz="4" w:space="0" w:color="auto"/>
              <w:right w:val="single" w:sz="4" w:space="0" w:color="auto"/>
            </w:tcBorders>
            <w:shd w:val="clear" w:color="auto" w:fill="A6A6A6" w:themeFill="background1" w:themeFillShade="A6"/>
          </w:tcPr>
          <w:p w14:paraId="27C5BF03"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Cumulative</w:t>
            </w:r>
          </w:p>
        </w:tc>
        <w:tc>
          <w:tcPr>
            <w:tcW w:w="540"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683DAAD5"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PC</w:t>
            </w:r>
          </w:p>
        </w:tc>
        <w:tc>
          <w:tcPr>
            <w:tcW w:w="1440" w:type="dxa"/>
            <w:tcBorders>
              <w:top w:val="single" w:sz="4" w:space="0" w:color="auto"/>
              <w:left w:val="single" w:sz="4" w:space="0" w:color="auto"/>
              <w:bottom w:val="single" w:sz="4" w:space="0" w:color="auto"/>
            </w:tcBorders>
            <w:shd w:val="clear" w:color="auto" w:fill="A6A6A6" w:themeFill="background1" w:themeFillShade="A6"/>
          </w:tcPr>
          <w:p w14:paraId="20CF97EE"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HAZ (</w:t>
            </w:r>
            <w:proofErr w:type="spellStart"/>
            <w:r w:rsidRPr="00D82796">
              <w:rPr>
                <w:rFonts w:ascii="Times New Roman" w:hAnsi="Times New Roman" w:cs="Times New Roman"/>
                <w:sz w:val="22"/>
                <w:szCs w:val="22"/>
              </w:rPr>
              <w:t>Corr</w:t>
            </w:r>
            <w:proofErr w:type="spellEnd"/>
            <w:r w:rsidRPr="00D82796">
              <w:rPr>
                <w:rFonts w:ascii="Times New Roman" w:hAnsi="Times New Roman" w:cs="Times New Roman"/>
                <w:sz w:val="22"/>
                <w:szCs w:val="22"/>
              </w:rPr>
              <w:t>)</w:t>
            </w:r>
          </w:p>
        </w:tc>
        <w:tc>
          <w:tcPr>
            <w:tcW w:w="1800" w:type="dxa"/>
            <w:tcBorders>
              <w:top w:val="single" w:sz="4" w:space="0" w:color="auto"/>
              <w:bottom w:val="single" w:sz="4" w:space="0" w:color="auto"/>
            </w:tcBorders>
            <w:shd w:val="clear" w:color="auto" w:fill="A6A6A6" w:themeFill="background1" w:themeFillShade="A6"/>
          </w:tcPr>
          <w:p w14:paraId="5704442D"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WAZ (</w:t>
            </w:r>
            <w:proofErr w:type="spellStart"/>
            <w:r w:rsidRPr="00D82796">
              <w:rPr>
                <w:rFonts w:ascii="Times New Roman" w:hAnsi="Times New Roman" w:cs="Times New Roman"/>
                <w:sz w:val="22"/>
                <w:szCs w:val="22"/>
              </w:rPr>
              <w:t>Corr</w:t>
            </w:r>
            <w:proofErr w:type="spellEnd"/>
            <w:r w:rsidRPr="00D82796">
              <w:rPr>
                <w:rFonts w:ascii="Times New Roman" w:hAnsi="Times New Roman" w:cs="Times New Roman"/>
                <w:sz w:val="22"/>
                <w:szCs w:val="22"/>
              </w:rPr>
              <w:t>)</w:t>
            </w:r>
          </w:p>
        </w:tc>
        <w:tc>
          <w:tcPr>
            <w:tcW w:w="1620" w:type="dxa"/>
            <w:tcBorders>
              <w:top w:val="single" w:sz="4" w:space="0" w:color="auto"/>
              <w:bottom w:val="single" w:sz="4" w:space="0" w:color="auto"/>
            </w:tcBorders>
            <w:shd w:val="clear" w:color="auto" w:fill="A6A6A6" w:themeFill="background1" w:themeFillShade="A6"/>
          </w:tcPr>
          <w:p w14:paraId="59B84D76"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WHZ (</w:t>
            </w:r>
            <w:proofErr w:type="spellStart"/>
            <w:r w:rsidRPr="00D82796">
              <w:rPr>
                <w:rFonts w:ascii="Times New Roman" w:hAnsi="Times New Roman" w:cs="Times New Roman"/>
                <w:sz w:val="22"/>
                <w:szCs w:val="22"/>
              </w:rPr>
              <w:t>Corr</w:t>
            </w:r>
            <w:proofErr w:type="spellEnd"/>
            <w:r w:rsidRPr="00D82796">
              <w:rPr>
                <w:rFonts w:ascii="Times New Roman" w:hAnsi="Times New Roman" w:cs="Times New Roman"/>
                <w:sz w:val="22"/>
                <w:szCs w:val="22"/>
              </w:rPr>
              <w:t>)</w:t>
            </w:r>
          </w:p>
        </w:tc>
      </w:tr>
      <w:tr w:rsidR="00D40A47" w:rsidRPr="00D82796" w14:paraId="2E66DF1A" w14:textId="77777777" w:rsidTr="00DB1117">
        <w:trPr>
          <w:jc w:val="center"/>
        </w:trPr>
        <w:tc>
          <w:tcPr>
            <w:tcW w:w="1440" w:type="dxa"/>
            <w:tcBorders>
              <w:top w:val="single" w:sz="4" w:space="0" w:color="auto"/>
            </w:tcBorders>
          </w:tcPr>
          <w:p w14:paraId="7244D6B3"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4.026</w:t>
            </w:r>
          </w:p>
        </w:tc>
        <w:tc>
          <w:tcPr>
            <w:tcW w:w="1260" w:type="dxa"/>
            <w:tcBorders>
              <w:top w:val="single" w:sz="4" w:space="0" w:color="auto"/>
            </w:tcBorders>
          </w:tcPr>
          <w:p w14:paraId="55ED8BFC"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0.657</w:t>
            </w:r>
          </w:p>
        </w:tc>
        <w:tc>
          <w:tcPr>
            <w:tcW w:w="1350" w:type="dxa"/>
            <w:tcBorders>
              <w:top w:val="single" w:sz="4" w:space="0" w:color="auto"/>
              <w:right w:val="single" w:sz="4" w:space="0" w:color="auto"/>
            </w:tcBorders>
          </w:tcPr>
          <w:p w14:paraId="15201F3C"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0.657</w:t>
            </w:r>
          </w:p>
        </w:tc>
        <w:tc>
          <w:tcPr>
            <w:tcW w:w="540" w:type="dxa"/>
            <w:tcBorders>
              <w:top w:val="single" w:sz="4" w:space="0" w:color="auto"/>
              <w:left w:val="single" w:sz="4" w:space="0" w:color="auto"/>
              <w:right w:val="single" w:sz="4" w:space="0" w:color="auto"/>
            </w:tcBorders>
            <w:shd w:val="clear" w:color="auto" w:fill="A6A6A6" w:themeFill="background1" w:themeFillShade="A6"/>
          </w:tcPr>
          <w:p w14:paraId="0C5B0EBA"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1</w:t>
            </w:r>
          </w:p>
        </w:tc>
        <w:tc>
          <w:tcPr>
            <w:tcW w:w="1440" w:type="dxa"/>
            <w:tcBorders>
              <w:top w:val="single" w:sz="4" w:space="0" w:color="auto"/>
              <w:left w:val="single" w:sz="4" w:space="0" w:color="auto"/>
            </w:tcBorders>
          </w:tcPr>
          <w:p w14:paraId="1C50A574"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0.81 (1)</w:t>
            </w:r>
          </w:p>
        </w:tc>
        <w:tc>
          <w:tcPr>
            <w:tcW w:w="1800" w:type="dxa"/>
            <w:tcBorders>
              <w:top w:val="single" w:sz="4" w:space="0" w:color="auto"/>
            </w:tcBorders>
          </w:tcPr>
          <w:p w14:paraId="5CE8093D"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0.55 (0.721)</w:t>
            </w:r>
          </w:p>
        </w:tc>
        <w:tc>
          <w:tcPr>
            <w:tcW w:w="1620" w:type="dxa"/>
            <w:tcBorders>
              <w:top w:val="single" w:sz="4" w:space="0" w:color="auto"/>
            </w:tcBorders>
          </w:tcPr>
          <w:p w14:paraId="4CB7488B"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0.15 (-0.103)</w:t>
            </w:r>
          </w:p>
        </w:tc>
      </w:tr>
      <w:tr w:rsidR="00D40A47" w:rsidRPr="00D82796" w14:paraId="6034709E" w14:textId="77777777" w:rsidTr="00DB1117">
        <w:trPr>
          <w:jc w:val="center"/>
        </w:trPr>
        <w:tc>
          <w:tcPr>
            <w:tcW w:w="1440" w:type="dxa"/>
            <w:tcBorders>
              <w:bottom w:val="nil"/>
            </w:tcBorders>
          </w:tcPr>
          <w:p w14:paraId="3B89C3C9"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2.090</w:t>
            </w:r>
          </w:p>
        </w:tc>
        <w:tc>
          <w:tcPr>
            <w:tcW w:w="1260" w:type="dxa"/>
            <w:tcBorders>
              <w:bottom w:val="nil"/>
            </w:tcBorders>
          </w:tcPr>
          <w:p w14:paraId="2F28B99B"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0.341</w:t>
            </w:r>
          </w:p>
        </w:tc>
        <w:tc>
          <w:tcPr>
            <w:tcW w:w="1350" w:type="dxa"/>
            <w:tcBorders>
              <w:bottom w:val="nil"/>
              <w:right w:val="single" w:sz="4" w:space="0" w:color="auto"/>
            </w:tcBorders>
          </w:tcPr>
          <w:p w14:paraId="48654301"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0.997</w:t>
            </w:r>
          </w:p>
        </w:tc>
        <w:tc>
          <w:tcPr>
            <w:tcW w:w="540" w:type="dxa"/>
            <w:tcBorders>
              <w:left w:val="single" w:sz="4" w:space="0" w:color="auto"/>
              <w:bottom w:val="nil"/>
              <w:right w:val="single" w:sz="4" w:space="0" w:color="auto"/>
            </w:tcBorders>
            <w:shd w:val="clear" w:color="auto" w:fill="A6A6A6" w:themeFill="background1" w:themeFillShade="A6"/>
          </w:tcPr>
          <w:p w14:paraId="6FC85314"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2</w:t>
            </w:r>
          </w:p>
        </w:tc>
        <w:tc>
          <w:tcPr>
            <w:tcW w:w="1440" w:type="dxa"/>
            <w:tcBorders>
              <w:left w:val="single" w:sz="4" w:space="0" w:color="auto"/>
              <w:bottom w:val="nil"/>
            </w:tcBorders>
          </w:tcPr>
          <w:p w14:paraId="73281EAC"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0.40</w:t>
            </w:r>
          </w:p>
        </w:tc>
        <w:tc>
          <w:tcPr>
            <w:tcW w:w="1800" w:type="dxa"/>
            <w:tcBorders>
              <w:bottom w:val="nil"/>
            </w:tcBorders>
          </w:tcPr>
          <w:p w14:paraId="652DA8CA"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-0.35</w:t>
            </w:r>
          </w:p>
        </w:tc>
        <w:tc>
          <w:tcPr>
            <w:tcW w:w="1620" w:type="dxa"/>
            <w:tcBorders>
              <w:bottom w:val="nil"/>
            </w:tcBorders>
          </w:tcPr>
          <w:p w14:paraId="23B13469"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-0.85 (0.602)</w:t>
            </w:r>
          </w:p>
        </w:tc>
      </w:tr>
      <w:tr w:rsidR="00D40A47" w:rsidRPr="00D82796" w14:paraId="43D09E97" w14:textId="77777777" w:rsidTr="00DB1117">
        <w:trPr>
          <w:jc w:val="center"/>
        </w:trPr>
        <w:tc>
          <w:tcPr>
            <w:tcW w:w="1440" w:type="dxa"/>
            <w:tcBorders>
              <w:top w:val="nil"/>
              <w:bottom w:val="single" w:sz="4" w:space="0" w:color="auto"/>
            </w:tcBorders>
          </w:tcPr>
          <w:p w14:paraId="56D13A62"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0.017</w:t>
            </w:r>
          </w:p>
        </w:tc>
        <w:tc>
          <w:tcPr>
            <w:tcW w:w="1260" w:type="dxa"/>
            <w:tcBorders>
              <w:top w:val="nil"/>
              <w:bottom w:val="single" w:sz="4" w:space="0" w:color="auto"/>
            </w:tcBorders>
          </w:tcPr>
          <w:p w14:paraId="33B9AB67"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0.003</w:t>
            </w:r>
          </w:p>
        </w:tc>
        <w:tc>
          <w:tcPr>
            <w:tcW w:w="1350" w:type="dxa"/>
            <w:tcBorders>
              <w:top w:val="nil"/>
              <w:bottom w:val="single" w:sz="4" w:space="0" w:color="auto"/>
              <w:right w:val="single" w:sz="4" w:space="0" w:color="auto"/>
            </w:tcBorders>
          </w:tcPr>
          <w:p w14:paraId="74F1542C"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1.000</w:t>
            </w:r>
          </w:p>
        </w:tc>
        <w:tc>
          <w:tcPr>
            <w:tcW w:w="540" w:type="dxa"/>
            <w:tcBorders>
              <w:top w:val="nil"/>
              <w:left w:val="single" w:sz="4" w:space="0" w:color="auto"/>
              <w:bottom w:val="single" w:sz="4" w:space="0" w:color="auto"/>
              <w:right w:val="single" w:sz="4" w:space="0" w:color="auto"/>
            </w:tcBorders>
            <w:shd w:val="clear" w:color="auto" w:fill="A6A6A6" w:themeFill="background1" w:themeFillShade="A6"/>
          </w:tcPr>
          <w:p w14:paraId="6937204E"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3</w:t>
            </w:r>
          </w:p>
        </w:tc>
        <w:tc>
          <w:tcPr>
            <w:tcW w:w="1440" w:type="dxa"/>
            <w:tcBorders>
              <w:top w:val="nil"/>
              <w:left w:val="single" w:sz="4" w:space="0" w:color="auto"/>
              <w:bottom w:val="single" w:sz="4" w:space="0" w:color="auto"/>
            </w:tcBorders>
          </w:tcPr>
          <w:p w14:paraId="02DF4826"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0.43</w:t>
            </w:r>
          </w:p>
        </w:tc>
        <w:tc>
          <w:tcPr>
            <w:tcW w:w="1800" w:type="dxa"/>
            <w:tcBorders>
              <w:top w:val="nil"/>
              <w:bottom w:val="single" w:sz="4" w:space="0" w:color="auto"/>
            </w:tcBorders>
          </w:tcPr>
          <w:p w14:paraId="4ADF9E4A"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-0.75</w:t>
            </w:r>
          </w:p>
        </w:tc>
        <w:tc>
          <w:tcPr>
            <w:tcW w:w="1620" w:type="dxa"/>
            <w:tcBorders>
              <w:top w:val="nil"/>
              <w:bottom w:val="single" w:sz="4" w:space="0" w:color="auto"/>
            </w:tcBorders>
          </w:tcPr>
          <w:p w14:paraId="7FC85778" w14:textId="77777777" w:rsidR="00D40A47" w:rsidRPr="00D82796" w:rsidRDefault="00D40A47" w:rsidP="00DB1117">
            <w:pPr>
              <w:jc w:val="center"/>
              <w:rPr>
                <w:rFonts w:ascii="Times New Roman" w:hAnsi="Times New Roman" w:cs="Times New Roman"/>
                <w:sz w:val="22"/>
                <w:szCs w:val="22"/>
              </w:rPr>
            </w:pPr>
            <w:r w:rsidRPr="00D82796">
              <w:rPr>
                <w:rFonts w:ascii="Times New Roman" w:hAnsi="Times New Roman" w:cs="Times New Roman"/>
                <w:sz w:val="22"/>
                <w:szCs w:val="22"/>
              </w:rPr>
              <w:t>0.51</w:t>
            </w:r>
          </w:p>
        </w:tc>
      </w:tr>
      <w:tr w:rsidR="00D40A47" w:rsidRPr="00D82796" w14:paraId="5EC1738B" w14:textId="77777777" w:rsidTr="00DB1117">
        <w:trPr>
          <w:jc w:val="center"/>
        </w:trPr>
        <w:tc>
          <w:tcPr>
            <w:tcW w:w="9450" w:type="dxa"/>
            <w:gridSpan w:val="7"/>
            <w:tcBorders>
              <w:top w:val="single" w:sz="4" w:space="0" w:color="auto"/>
              <w:bottom w:val="nil"/>
            </w:tcBorders>
          </w:tcPr>
          <w:p w14:paraId="3560D468" w14:textId="77777777" w:rsidR="00D40A47" w:rsidRPr="00D82796" w:rsidRDefault="00D40A47" w:rsidP="00DB1117">
            <w:pPr>
              <w:jc w:val="both"/>
              <w:rPr>
                <w:rFonts w:ascii="Times New Roman" w:hAnsi="Times New Roman" w:cs="Times New Roman"/>
                <w:i/>
                <w:sz w:val="22"/>
                <w:szCs w:val="22"/>
              </w:rPr>
            </w:pPr>
            <w:r w:rsidRPr="00D82796">
              <w:rPr>
                <w:rFonts w:ascii="Times New Roman" w:hAnsi="Times New Roman" w:cs="Times New Roman"/>
                <w:i/>
                <w:sz w:val="22"/>
                <w:szCs w:val="22"/>
              </w:rPr>
              <w:t xml:space="preserve">Key: all correlations are statistically significant (p&lt;0.01); PC (principal Component); </w:t>
            </w:r>
            <w:proofErr w:type="spellStart"/>
            <w:r w:rsidRPr="00D82796">
              <w:rPr>
                <w:rFonts w:ascii="Times New Roman" w:hAnsi="Times New Roman" w:cs="Times New Roman"/>
                <w:i/>
                <w:sz w:val="22"/>
                <w:szCs w:val="22"/>
              </w:rPr>
              <w:t>Corr</w:t>
            </w:r>
            <w:proofErr w:type="spellEnd"/>
            <w:r w:rsidRPr="00D82796">
              <w:rPr>
                <w:rFonts w:ascii="Times New Roman" w:hAnsi="Times New Roman" w:cs="Times New Roman"/>
                <w:i/>
                <w:sz w:val="22"/>
                <w:szCs w:val="22"/>
              </w:rPr>
              <w:t xml:space="preserve"> (Correlation value); Values in each cell from column 5 to 7 are Principal component coefficients and correlations are in the parentheses. </w:t>
            </w:r>
          </w:p>
        </w:tc>
      </w:tr>
    </w:tbl>
    <w:p w14:paraId="3E7A8C90" w14:textId="77777777" w:rsidR="00D40A47" w:rsidRDefault="00D40A47" w:rsidP="00D40A47">
      <w:pPr>
        <w:pStyle w:val="Default"/>
        <w:spacing w:line="360" w:lineRule="auto"/>
        <w:jc w:val="both"/>
        <w:rPr>
          <w:b/>
          <w:color w:val="auto"/>
        </w:rPr>
      </w:pPr>
      <w:r>
        <w:rPr>
          <w:b/>
        </w:rPr>
        <w:t>Explanatory variables</w:t>
      </w:r>
    </w:p>
    <w:p w14:paraId="7E6F4DD2" w14:textId="77777777" w:rsidR="00D40A47" w:rsidRDefault="00D40A47" w:rsidP="00D40A4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selection of explanatory variables </w:t>
      </w:r>
      <w:proofErr w:type="gramStart"/>
      <w:r>
        <w:rPr>
          <w:rFonts w:ascii="Times New Roman" w:hAnsi="Times New Roman" w:cs="Times New Roman"/>
          <w:sz w:val="24"/>
          <w:szCs w:val="24"/>
        </w:rPr>
        <w:t>are</w:t>
      </w:r>
      <w:proofErr w:type="gramEnd"/>
      <w:r>
        <w:rPr>
          <w:rFonts w:ascii="Times New Roman" w:hAnsi="Times New Roman" w:cs="Times New Roman"/>
          <w:sz w:val="24"/>
          <w:szCs w:val="24"/>
        </w:rPr>
        <w:t xml:space="preserve"> theoretically driven that draw support from prior research with regard to factors affecting children’s nutritional status. Previous studies are referenced in creating categories for naturally continuous and discrete variables </w:t>
      </w:r>
      <w:r>
        <w:rPr>
          <w:rFonts w:ascii="Times New Roman" w:hAnsi="Times New Roman" w:cs="Times New Roman"/>
          <w:sz w:val="24"/>
          <w:szCs w:val="24"/>
        </w:rPr>
        <w:fldChar w:fldCharType="begin">
          <w:fldData xml:space="preserve">PEVuZE5vdGU+PENpdGU+PEF1dGhvcj5NYXdhPC9BdXRob3I+PFllYXI+MjAxODwvWWVhcj48UmVj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PEVuZE5vdGU+PENpdGU+PEF1dGhvcj5NYXdhPC9BdXRob3I+PFllYXI+MjAxODwvWWVhcj48UmVj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w:t>
      </w:r>
      <w:hyperlink w:anchor="_ENREF_22" w:tooltip="Mawa, 2018 #17" w:history="1">
        <w:r>
          <w:rPr>
            <w:rFonts w:ascii="Times New Roman" w:hAnsi="Times New Roman" w:cs="Times New Roman"/>
            <w:noProof/>
            <w:sz w:val="24"/>
            <w:szCs w:val="24"/>
          </w:rPr>
          <w:t>22-26</w:t>
        </w:r>
      </w:hyperlink>
      <w:r>
        <w:rPr>
          <w:rFonts w:ascii="Times New Roman" w:hAnsi="Times New Roman" w:cs="Times New Roman"/>
          <w:noProof/>
          <w:sz w:val="24"/>
          <w:szCs w:val="24"/>
        </w:rPr>
        <w:t>]</w:t>
      </w:r>
      <w:r>
        <w:rPr>
          <w:rFonts w:ascii="Times New Roman" w:hAnsi="Times New Roman" w:cs="Times New Roman"/>
          <w:sz w:val="24"/>
          <w:szCs w:val="24"/>
        </w:rPr>
        <w:fldChar w:fldCharType="end"/>
      </w:r>
      <w:r>
        <w:rPr>
          <w:rFonts w:ascii="Times New Roman" w:hAnsi="Times New Roman" w:cs="Times New Roman"/>
          <w:sz w:val="24"/>
          <w:szCs w:val="24"/>
        </w:rPr>
        <w:t xml:space="preserve"> (Table 2).</w:t>
      </w:r>
    </w:p>
    <w:p w14:paraId="0F096582" w14:textId="77777777" w:rsidR="00D40A47" w:rsidRPr="00EF3332" w:rsidRDefault="00D40A47" w:rsidP="00D40A47">
      <w:pPr>
        <w:spacing w:after="0" w:line="360" w:lineRule="auto"/>
        <w:jc w:val="both"/>
        <w:rPr>
          <w:rFonts w:ascii="Times New Roman" w:hAnsi="Times New Roman" w:cs="Times New Roman"/>
          <w:sz w:val="24"/>
          <w:szCs w:val="24"/>
        </w:rPr>
      </w:pPr>
      <w:r w:rsidRPr="00B72642">
        <w:rPr>
          <w:rFonts w:ascii="Times New Roman" w:hAnsi="Times New Roman" w:cs="Times New Roman"/>
          <w:bCs/>
          <w:sz w:val="24"/>
          <w:szCs w:val="24"/>
        </w:rPr>
        <w:t xml:space="preserve">Table </w:t>
      </w:r>
      <w:r>
        <w:rPr>
          <w:rFonts w:ascii="Times New Roman" w:hAnsi="Times New Roman" w:cs="Times New Roman"/>
          <w:bCs/>
          <w:sz w:val="24"/>
          <w:szCs w:val="24"/>
        </w:rPr>
        <w:t>2</w:t>
      </w:r>
      <w:r w:rsidRPr="00B72642">
        <w:rPr>
          <w:rFonts w:ascii="Times New Roman" w:hAnsi="Times New Roman" w:cs="Times New Roman"/>
          <w:bCs/>
          <w:sz w:val="24"/>
          <w:szCs w:val="24"/>
        </w:rPr>
        <w:t xml:space="preserve">: Description </w:t>
      </w:r>
      <w:r>
        <w:rPr>
          <w:rFonts w:ascii="Times New Roman" w:hAnsi="Times New Roman" w:cs="Times New Roman"/>
          <w:bCs/>
          <w:sz w:val="24"/>
          <w:szCs w:val="24"/>
        </w:rPr>
        <w:t xml:space="preserve">and frequency of </w:t>
      </w:r>
      <w:r w:rsidRPr="00067A71">
        <w:rPr>
          <w:rFonts w:ascii="Times New Roman" w:hAnsi="Times New Roman" w:cs="Times New Roman"/>
          <w:color w:val="000033"/>
          <w:sz w:val="24"/>
          <w:szCs w:val="24"/>
          <w:shd w:val="clear" w:color="auto" w:fill="FFFFFF"/>
        </w:rPr>
        <w:t>intermediate causes</w:t>
      </w:r>
      <w:r w:rsidRPr="00B72642">
        <w:rPr>
          <w:rFonts w:ascii="Times New Roman" w:hAnsi="Times New Roman" w:cs="Times New Roman"/>
          <w:bCs/>
          <w:sz w:val="24"/>
          <w:szCs w:val="24"/>
        </w:rPr>
        <w:t xml:space="preserve"> </w:t>
      </w:r>
      <w:r>
        <w:rPr>
          <w:rFonts w:ascii="Times New Roman" w:hAnsi="Times New Roman" w:cs="Times New Roman"/>
          <w:bCs/>
          <w:sz w:val="24"/>
          <w:szCs w:val="24"/>
        </w:rPr>
        <w:t xml:space="preserve">of child under-nutrition </w:t>
      </w:r>
    </w:p>
    <w:tbl>
      <w:tblPr>
        <w:tblW w:w="10803" w:type="dxa"/>
        <w:jc w:val="center"/>
        <w:tblBorders>
          <w:top w:val="single" w:sz="4" w:space="0" w:color="auto"/>
          <w:bottom w:val="single" w:sz="4" w:space="0" w:color="auto"/>
        </w:tblBorders>
        <w:shd w:val="clear" w:color="auto" w:fill="FFFFFF" w:themeFill="background1"/>
        <w:tblLayout w:type="fixed"/>
        <w:tblCellMar>
          <w:left w:w="0" w:type="dxa"/>
          <w:right w:w="0" w:type="dxa"/>
        </w:tblCellMar>
        <w:tblLook w:val="0000" w:firstRow="0" w:lastRow="0" w:firstColumn="0" w:lastColumn="0" w:noHBand="0" w:noVBand="0"/>
      </w:tblPr>
      <w:tblGrid>
        <w:gridCol w:w="1982"/>
        <w:gridCol w:w="1980"/>
        <w:gridCol w:w="1350"/>
        <w:gridCol w:w="1845"/>
        <w:gridCol w:w="2295"/>
        <w:gridCol w:w="1351"/>
      </w:tblGrid>
      <w:tr w:rsidR="00D40A47" w:rsidRPr="00D82796" w14:paraId="0B46B9F1" w14:textId="77777777" w:rsidTr="00DB1117">
        <w:trPr>
          <w:cantSplit/>
          <w:jc w:val="center"/>
        </w:trPr>
        <w:tc>
          <w:tcPr>
            <w:tcW w:w="1982" w:type="dxa"/>
            <w:tcBorders>
              <w:top w:val="single" w:sz="4" w:space="0" w:color="auto"/>
              <w:bottom w:val="single" w:sz="4" w:space="0" w:color="auto"/>
            </w:tcBorders>
            <w:shd w:val="clear" w:color="auto" w:fill="FFFFFF" w:themeFill="background1"/>
            <w:vAlign w:val="bottom"/>
          </w:tcPr>
          <w:p w14:paraId="7687D536" w14:textId="77777777" w:rsidR="00D40A47" w:rsidRPr="00D82796" w:rsidRDefault="00D40A47" w:rsidP="00DB1117">
            <w:pPr>
              <w:autoSpaceDE w:val="0"/>
              <w:autoSpaceDN w:val="0"/>
              <w:adjustRightInd w:val="0"/>
              <w:spacing w:after="0" w:line="240" w:lineRule="auto"/>
              <w:rPr>
                <w:rFonts w:ascii="Times New Roman" w:hAnsi="Times New Roman" w:cs="Times New Roman"/>
                <w:b/>
                <w:sz w:val="20"/>
                <w:szCs w:val="20"/>
              </w:rPr>
            </w:pPr>
            <w:r w:rsidRPr="00D82796">
              <w:rPr>
                <w:rFonts w:ascii="Times New Roman" w:hAnsi="Times New Roman" w:cs="Times New Roman"/>
                <w:b/>
                <w:sz w:val="20"/>
                <w:szCs w:val="20"/>
              </w:rPr>
              <w:t>Variables</w:t>
            </w:r>
          </w:p>
        </w:tc>
        <w:tc>
          <w:tcPr>
            <w:tcW w:w="1980" w:type="dxa"/>
            <w:tcBorders>
              <w:top w:val="single" w:sz="4" w:space="0" w:color="auto"/>
              <w:bottom w:val="single" w:sz="4" w:space="0" w:color="auto"/>
            </w:tcBorders>
            <w:shd w:val="clear" w:color="auto" w:fill="FFFFFF" w:themeFill="background1"/>
            <w:vAlign w:val="bottom"/>
          </w:tcPr>
          <w:p w14:paraId="540B602B" w14:textId="77777777" w:rsidR="00D40A47" w:rsidRPr="00D82796" w:rsidRDefault="00D40A47" w:rsidP="00DB1117">
            <w:pPr>
              <w:autoSpaceDE w:val="0"/>
              <w:autoSpaceDN w:val="0"/>
              <w:adjustRightInd w:val="0"/>
              <w:spacing w:after="0" w:line="240" w:lineRule="auto"/>
              <w:jc w:val="center"/>
              <w:rPr>
                <w:rFonts w:ascii="Times New Roman" w:hAnsi="Times New Roman" w:cs="Times New Roman"/>
                <w:b/>
                <w:sz w:val="20"/>
                <w:szCs w:val="20"/>
              </w:rPr>
            </w:pPr>
            <w:r w:rsidRPr="00D82796">
              <w:rPr>
                <w:rFonts w:ascii="Times New Roman" w:hAnsi="Times New Roman" w:cs="Times New Roman"/>
                <w:b/>
                <w:sz w:val="20"/>
                <w:szCs w:val="20"/>
              </w:rPr>
              <w:t>Categories (Codes)</w:t>
            </w:r>
          </w:p>
        </w:tc>
        <w:tc>
          <w:tcPr>
            <w:tcW w:w="1350" w:type="dxa"/>
            <w:tcBorders>
              <w:top w:val="single" w:sz="4" w:space="0" w:color="auto"/>
              <w:bottom w:val="single" w:sz="4" w:space="0" w:color="auto"/>
              <w:right w:val="single" w:sz="4" w:space="0" w:color="auto"/>
            </w:tcBorders>
            <w:shd w:val="clear" w:color="auto" w:fill="FFFFFF" w:themeFill="background1"/>
            <w:vAlign w:val="bottom"/>
          </w:tcPr>
          <w:p w14:paraId="53752CA8" w14:textId="77777777" w:rsidR="00D40A47" w:rsidRPr="00D82796" w:rsidRDefault="00D40A47" w:rsidP="00DB1117">
            <w:pPr>
              <w:autoSpaceDE w:val="0"/>
              <w:autoSpaceDN w:val="0"/>
              <w:adjustRightInd w:val="0"/>
              <w:spacing w:after="0" w:line="240" w:lineRule="auto"/>
              <w:jc w:val="center"/>
              <w:rPr>
                <w:rFonts w:ascii="Times New Roman" w:hAnsi="Times New Roman" w:cs="Times New Roman"/>
                <w:b/>
                <w:sz w:val="20"/>
                <w:szCs w:val="20"/>
              </w:rPr>
            </w:pPr>
            <w:r w:rsidRPr="00D82796">
              <w:rPr>
                <w:rFonts w:ascii="Times New Roman" w:hAnsi="Times New Roman" w:cs="Times New Roman"/>
                <w:b/>
                <w:sz w:val="20"/>
                <w:szCs w:val="20"/>
              </w:rPr>
              <w:t>n (%)</w:t>
            </w:r>
          </w:p>
        </w:tc>
        <w:tc>
          <w:tcPr>
            <w:tcW w:w="1845" w:type="dxa"/>
            <w:tcBorders>
              <w:top w:val="single" w:sz="4" w:space="0" w:color="auto"/>
              <w:left w:val="single" w:sz="4" w:space="0" w:color="auto"/>
              <w:bottom w:val="single" w:sz="4" w:space="0" w:color="auto"/>
            </w:tcBorders>
            <w:vAlign w:val="bottom"/>
          </w:tcPr>
          <w:p w14:paraId="513F1D78" w14:textId="77777777" w:rsidR="00D40A47" w:rsidRPr="00D82796" w:rsidRDefault="00D40A47" w:rsidP="00DB1117">
            <w:pPr>
              <w:autoSpaceDE w:val="0"/>
              <w:autoSpaceDN w:val="0"/>
              <w:adjustRightInd w:val="0"/>
              <w:spacing w:after="0" w:line="240" w:lineRule="auto"/>
              <w:rPr>
                <w:rFonts w:ascii="Times New Roman" w:hAnsi="Times New Roman" w:cs="Times New Roman"/>
                <w:b/>
                <w:sz w:val="20"/>
                <w:szCs w:val="20"/>
              </w:rPr>
            </w:pPr>
            <w:r w:rsidRPr="00D82796">
              <w:rPr>
                <w:rFonts w:ascii="Times New Roman" w:hAnsi="Times New Roman" w:cs="Times New Roman"/>
                <w:b/>
                <w:sz w:val="20"/>
                <w:szCs w:val="20"/>
              </w:rPr>
              <w:t>Variables</w:t>
            </w:r>
          </w:p>
        </w:tc>
        <w:tc>
          <w:tcPr>
            <w:tcW w:w="2295" w:type="dxa"/>
            <w:tcBorders>
              <w:top w:val="single" w:sz="4" w:space="0" w:color="auto"/>
              <w:bottom w:val="single" w:sz="4" w:space="0" w:color="auto"/>
            </w:tcBorders>
            <w:vAlign w:val="bottom"/>
          </w:tcPr>
          <w:p w14:paraId="7D5A68C5" w14:textId="77777777" w:rsidR="00D40A47" w:rsidRPr="00D82796" w:rsidRDefault="00D40A47" w:rsidP="00DB1117">
            <w:pPr>
              <w:autoSpaceDE w:val="0"/>
              <w:autoSpaceDN w:val="0"/>
              <w:adjustRightInd w:val="0"/>
              <w:spacing w:after="0" w:line="240" w:lineRule="auto"/>
              <w:jc w:val="center"/>
              <w:rPr>
                <w:rFonts w:ascii="Times New Roman" w:hAnsi="Times New Roman" w:cs="Times New Roman"/>
                <w:b/>
                <w:sz w:val="20"/>
                <w:szCs w:val="20"/>
              </w:rPr>
            </w:pPr>
            <w:r w:rsidRPr="00D82796">
              <w:rPr>
                <w:rFonts w:ascii="Times New Roman" w:hAnsi="Times New Roman" w:cs="Times New Roman"/>
                <w:b/>
                <w:sz w:val="20"/>
                <w:szCs w:val="20"/>
              </w:rPr>
              <w:t>Categories (Codes)</w:t>
            </w:r>
          </w:p>
        </w:tc>
        <w:tc>
          <w:tcPr>
            <w:tcW w:w="1351" w:type="dxa"/>
            <w:tcBorders>
              <w:top w:val="single" w:sz="4" w:space="0" w:color="auto"/>
              <w:bottom w:val="single" w:sz="4" w:space="0" w:color="auto"/>
            </w:tcBorders>
            <w:vAlign w:val="bottom"/>
          </w:tcPr>
          <w:p w14:paraId="10724827" w14:textId="77777777" w:rsidR="00D40A47" w:rsidRPr="00D82796" w:rsidRDefault="00D40A47" w:rsidP="00DB1117">
            <w:pPr>
              <w:autoSpaceDE w:val="0"/>
              <w:autoSpaceDN w:val="0"/>
              <w:adjustRightInd w:val="0"/>
              <w:spacing w:after="0" w:line="240" w:lineRule="auto"/>
              <w:jc w:val="center"/>
              <w:rPr>
                <w:rFonts w:ascii="Times New Roman" w:hAnsi="Times New Roman" w:cs="Times New Roman"/>
                <w:b/>
                <w:sz w:val="20"/>
                <w:szCs w:val="20"/>
              </w:rPr>
            </w:pPr>
            <w:r w:rsidRPr="00D82796">
              <w:rPr>
                <w:rFonts w:ascii="Times New Roman" w:hAnsi="Times New Roman" w:cs="Times New Roman"/>
                <w:b/>
                <w:sz w:val="20"/>
                <w:szCs w:val="20"/>
              </w:rPr>
              <w:t>n (%)</w:t>
            </w:r>
          </w:p>
        </w:tc>
      </w:tr>
      <w:tr w:rsidR="00D40A47" w:rsidRPr="00D82796" w14:paraId="1AF03E29" w14:textId="77777777" w:rsidTr="00DB1117">
        <w:trPr>
          <w:cantSplit/>
          <w:jc w:val="center"/>
        </w:trPr>
        <w:tc>
          <w:tcPr>
            <w:tcW w:w="1982" w:type="dxa"/>
            <w:vMerge w:val="restart"/>
            <w:tcBorders>
              <w:top w:val="single" w:sz="4" w:space="0" w:color="auto"/>
            </w:tcBorders>
            <w:shd w:val="clear" w:color="auto" w:fill="FFFFFF" w:themeFill="background1"/>
            <w:vAlign w:val="center"/>
          </w:tcPr>
          <w:p w14:paraId="335807C0"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bCs/>
                <w:sz w:val="20"/>
                <w:szCs w:val="20"/>
              </w:rPr>
              <w:t xml:space="preserve"> Region</w:t>
            </w:r>
          </w:p>
        </w:tc>
        <w:tc>
          <w:tcPr>
            <w:tcW w:w="1980" w:type="dxa"/>
            <w:tcBorders>
              <w:top w:val="single" w:sz="4" w:space="0" w:color="auto"/>
            </w:tcBorders>
            <w:shd w:val="clear" w:color="auto" w:fill="FFFFFF" w:themeFill="background1"/>
          </w:tcPr>
          <w:p w14:paraId="532E293D"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Tigray (1)</w:t>
            </w:r>
          </w:p>
        </w:tc>
        <w:tc>
          <w:tcPr>
            <w:tcW w:w="1350" w:type="dxa"/>
            <w:tcBorders>
              <w:top w:val="single" w:sz="4" w:space="0" w:color="auto"/>
              <w:right w:val="single" w:sz="4" w:space="0" w:color="auto"/>
            </w:tcBorders>
            <w:shd w:val="clear" w:color="auto" w:fill="FFFFFF" w:themeFill="background1"/>
          </w:tcPr>
          <w:p w14:paraId="2CF0F6DB"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647(6.8)</w:t>
            </w:r>
          </w:p>
        </w:tc>
        <w:tc>
          <w:tcPr>
            <w:tcW w:w="1845" w:type="dxa"/>
            <w:vMerge w:val="restart"/>
            <w:tcBorders>
              <w:top w:val="single" w:sz="4" w:space="0" w:color="auto"/>
              <w:left w:val="single" w:sz="4" w:space="0" w:color="auto"/>
            </w:tcBorders>
            <w:vAlign w:val="center"/>
          </w:tcPr>
          <w:p w14:paraId="333B0667" w14:textId="77777777" w:rsidR="00D40A47" w:rsidRPr="00D82796" w:rsidRDefault="00D40A47" w:rsidP="00DB1117">
            <w:pPr>
              <w:spacing w:after="0" w:line="240" w:lineRule="auto"/>
              <w:jc w:val="right"/>
              <w:rPr>
                <w:rFonts w:ascii="Times New Roman" w:hAnsi="Times New Roman" w:cs="Times New Roman"/>
                <w:sz w:val="20"/>
                <w:szCs w:val="20"/>
              </w:rPr>
            </w:pPr>
            <w:r w:rsidRPr="00D82796">
              <w:rPr>
                <w:rFonts w:ascii="Times New Roman" w:hAnsi="Times New Roman" w:cs="Times New Roman"/>
                <w:sz w:val="20"/>
                <w:szCs w:val="20"/>
              </w:rPr>
              <w:t>Mother's Body mass index</w:t>
            </w:r>
            <w:r w:rsidRPr="00D82796">
              <w:rPr>
                <w:rFonts w:ascii="Times New Roman" w:hAnsi="Times New Roman" w:cs="Times New Roman"/>
                <w:sz w:val="20"/>
                <w:szCs w:val="20"/>
              </w:rPr>
              <w:tab/>
            </w:r>
          </w:p>
          <w:p w14:paraId="7A7164E5"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Borders>
              <w:top w:val="single" w:sz="4" w:space="0" w:color="auto"/>
            </w:tcBorders>
          </w:tcPr>
          <w:p w14:paraId="6B38B055"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Thin (0)</w:t>
            </w:r>
          </w:p>
        </w:tc>
        <w:tc>
          <w:tcPr>
            <w:tcW w:w="1351" w:type="dxa"/>
            <w:tcBorders>
              <w:top w:val="single" w:sz="4" w:space="0" w:color="auto"/>
            </w:tcBorders>
          </w:tcPr>
          <w:p w14:paraId="78D1928E"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1840 (19.4)</w:t>
            </w:r>
          </w:p>
        </w:tc>
      </w:tr>
      <w:tr w:rsidR="00D40A47" w:rsidRPr="00D82796" w14:paraId="20EDFF48" w14:textId="77777777" w:rsidTr="00DB1117">
        <w:trPr>
          <w:cantSplit/>
          <w:jc w:val="center"/>
        </w:trPr>
        <w:tc>
          <w:tcPr>
            <w:tcW w:w="1982" w:type="dxa"/>
            <w:vMerge/>
            <w:shd w:val="clear" w:color="auto" w:fill="FFFFFF" w:themeFill="background1"/>
            <w:vAlign w:val="center"/>
          </w:tcPr>
          <w:p w14:paraId="0D8D6604"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048F66FF"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Afar (2)</w:t>
            </w:r>
          </w:p>
        </w:tc>
        <w:tc>
          <w:tcPr>
            <w:tcW w:w="1350" w:type="dxa"/>
            <w:tcBorders>
              <w:right w:val="single" w:sz="4" w:space="0" w:color="auto"/>
            </w:tcBorders>
            <w:shd w:val="clear" w:color="auto" w:fill="FFFFFF" w:themeFill="background1"/>
          </w:tcPr>
          <w:p w14:paraId="0C6EF951"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90 (0.9)</w:t>
            </w:r>
          </w:p>
        </w:tc>
        <w:tc>
          <w:tcPr>
            <w:tcW w:w="1845" w:type="dxa"/>
            <w:vMerge/>
            <w:tcBorders>
              <w:left w:val="single" w:sz="4" w:space="0" w:color="auto"/>
            </w:tcBorders>
            <w:vAlign w:val="center"/>
          </w:tcPr>
          <w:p w14:paraId="185F4024"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192C62E6"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Normal (1)</w:t>
            </w:r>
          </w:p>
        </w:tc>
        <w:tc>
          <w:tcPr>
            <w:tcW w:w="1351" w:type="dxa"/>
          </w:tcPr>
          <w:p w14:paraId="56DABF69"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6974 (73.5)</w:t>
            </w:r>
          </w:p>
        </w:tc>
      </w:tr>
      <w:tr w:rsidR="00D40A47" w:rsidRPr="00D82796" w14:paraId="7BE293E9" w14:textId="77777777" w:rsidTr="00DB1117">
        <w:trPr>
          <w:cantSplit/>
          <w:jc w:val="center"/>
        </w:trPr>
        <w:tc>
          <w:tcPr>
            <w:tcW w:w="1982" w:type="dxa"/>
            <w:vMerge/>
            <w:shd w:val="clear" w:color="auto" w:fill="FFFFFF" w:themeFill="background1"/>
            <w:vAlign w:val="center"/>
          </w:tcPr>
          <w:p w14:paraId="6567225A"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409DD58D"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Amhara (3)</w:t>
            </w:r>
          </w:p>
        </w:tc>
        <w:tc>
          <w:tcPr>
            <w:tcW w:w="1350" w:type="dxa"/>
            <w:tcBorders>
              <w:right w:val="single" w:sz="4" w:space="0" w:color="auto"/>
            </w:tcBorders>
            <w:shd w:val="clear" w:color="auto" w:fill="FFFFFF" w:themeFill="background1"/>
          </w:tcPr>
          <w:p w14:paraId="0216498F"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1865 (19.6)</w:t>
            </w:r>
          </w:p>
        </w:tc>
        <w:tc>
          <w:tcPr>
            <w:tcW w:w="1845" w:type="dxa"/>
            <w:vMerge/>
            <w:tcBorders>
              <w:left w:val="single" w:sz="4" w:space="0" w:color="auto"/>
            </w:tcBorders>
            <w:vAlign w:val="center"/>
          </w:tcPr>
          <w:p w14:paraId="2C10A36E"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155A7A73"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Overweight (2)</w:t>
            </w:r>
          </w:p>
        </w:tc>
        <w:tc>
          <w:tcPr>
            <w:tcW w:w="1351" w:type="dxa"/>
          </w:tcPr>
          <w:p w14:paraId="4B183CD5"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585 (6.2)</w:t>
            </w:r>
          </w:p>
        </w:tc>
      </w:tr>
      <w:tr w:rsidR="00D40A47" w:rsidRPr="00D82796" w14:paraId="2157360C" w14:textId="77777777" w:rsidTr="00DB1117">
        <w:trPr>
          <w:cantSplit/>
          <w:jc w:val="center"/>
        </w:trPr>
        <w:tc>
          <w:tcPr>
            <w:tcW w:w="1982" w:type="dxa"/>
            <w:vMerge/>
            <w:shd w:val="clear" w:color="auto" w:fill="FFFFFF" w:themeFill="background1"/>
            <w:vAlign w:val="center"/>
          </w:tcPr>
          <w:p w14:paraId="3E515E5C"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529DCE0E"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Oromia (4)</w:t>
            </w:r>
          </w:p>
        </w:tc>
        <w:tc>
          <w:tcPr>
            <w:tcW w:w="1350" w:type="dxa"/>
            <w:tcBorders>
              <w:right w:val="single" w:sz="4" w:space="0" w:color="auto"/>
            </w:tcBorders>
            <w:shd w:val="clear" w:color="auto" w:fill="FFFFFF" w:themeFill="background1"/>
          </w:tcPr>
          <w:p w14:paraId="0AF6D8BD"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4164 (43.9)</w:t>
            </w:r>
          </w:p>
        </w:tc>
        <w:tc>
          <w:tcPr>
            <w:tcW w:w="1845" w:type="dxa"/>
            <w:vMerge w:val="restart"/>
            <w:tcBorders>
              <w:left w:val="single" w:sz="4" w:space="0" w:color="auto"/>
            </w:tcBorders>
            <w:vAlign w:val="center"/>
          </w:tcPr>
          <w:p w14:paraId="3AE5827B"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r w:rsidRPr="00D82796">
              <w:rPr>
                <w:rFonts w:ascii="Times New Roman" w:hAnsi="Times New Roman" w:cs="Times New Roman"/>
                <w:sz w:val="20"/>
                <w:szCs w:val="20"/>
              </w:rPr>
              <w:t>Anemia level</w:t>
            </w:r>
          </w:p>
        </w:tc>
        <w:tc>
          <w:tcPr>
            <w:tcW w:w="2295" w:type="dxa"/>
          </w:tcPr>
          <w:p w14:paraId="11CB8EE4"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proofErr w:type="gramStart"/>
            <w:r w:rsidRPr="00D82796">
              <w:rPr>
                <w:rFonts w:ascii="Times New Roman" w:hAnsi="Times New Roman" w:cs="Times New Roman"/>
                <w:sz w:val="20"/>
                <w:szCs w:val="20"/>
              </w:rPr>
              <w:t>Non Anemic</w:t>
            </w:r>
            <w:proofErr w:type="gramEnd"/>
            <w:r w:rsidRPr="00D82796">
              <w:rPr>
                <w:rFonts w:ascii="Times New Roman" w:hAnsi="Times New Roman" w:cs="Times New Roman"/>
                <w:sz w:val="20"/>
                <w:szCs w:val="20"/>
              </w:rPr>
              <w:t xml:space="preserve"> (0)</w:t>
            </w:r>
          </w:p>
        </w:tc>
        <w:tc>
          <w:tcPr>
            <w:tcW w:w="1351" w:type="dxa"/>
          </w:tcPr>
          <w:p w14:paraId="49356B03"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6025 (63.5)</w:t>
            </w:r>
          </w:p>
        </w:tc>
      </w:tr>
      <w:tr w:rsidR="00D40A47" w:rsidRPr="00D82796" w14:paraId="2A35BAC1" w14:textId="77777777" w:rsidTr="00DB1117">
        <w:trPr>
          <w:cantSplit/>
          <w:jc w:val="center"/>
        </w:trPr>
        <w:tc>
          <w:tcPr>
            <w:tcW w:w="1982" w:type="dxa"/>
            <w:vMerge/>
            <w:shd w:val="clear" w:color="auto" w:fill="FFFFFF" w:themeFill="background1"/>
            <w:vAlign w:val="center"/>
          </w:tcPr>
          <w:p w14:paraId="29C129AD"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726897FA"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Somali (5)</w:t>
            </w:r>
          </w:p>
        </w:tc>
        <w:tc>
          <w:tcPr>
            <w:tcW w:w="1350" w:type="dxa"/>
            <w:tcBorders>
              <w:right w:val="single" w:sz="4" w:space="0" w:color="auto"/>
            </w:tcBorders>
            <w:shd w:val="clear" w:color="auto" w:fill="FFFFFF" w:themeFill="background1"/>
          </w:tcPr>
          <w:p w14:paraId="319B52A0"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393 (4.1)</w:t>
            </w:r>
          </w:p>
        </w:tc>
        <w:tc>
          <w:tcPr>
            <w:tcW w:w="1845" w:type="dxa"/>
            <w:vMerge/>
            <w:tcBorders>
              <w:left w:val="single" w:sz="4" w:space="0" w:color="auto"/>
            </w:tcBorders>
            <w:vAlign w:val="center"/>
          </w:tcPr>
          <w:p w14:paraId="2EBD80E5"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37069095"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Anemic (1)</w:t>
            </w:r>
          </w:p>
        </w:tc>
        <w:tc>
          <w:tcPr>
            <w:tcW w:w="1351" w:type="dxa"/>
          </w:tcPr>
          <w:p w14:paraId="11E5713C"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2948 (31.0)</w:t>
            </w:r>
          </w:p>
        </w:tc>
      </w:tr>
      <w:tr w:rsidR="00D40A47" w:rsidRPr="00D82796" w14:paraId="773283A1" w14:textId="77777777" w:rsidTr="00DB1117">
        <w:trPr>
          <w:cantSplit/>
          <w:jc w:val="center"/>
        </w:trPr>
        <w:tc>
          <w:tcPr>
            <w:tcW w:w="1982" w:type="dxa"/>
            <w:vMerge/>
            <w:shd w:val="clear" w:color="auto" w:fill="FFFFFF" w:themeFill="background1"/>
            <w:vAlign w:val="center"/>
          </w:tcPr>
          <w:p w14:paraId="6A4A3B2D"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3CCD2EF9"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Benishangul (6)</w:t>
            </w:r>
          </w:p>
        </w:tc>
        <w:tc>
          <w:tcPr>
            <w:tcW w:w="1350" w:type="dxa"/>
            <w:tcBorders>
              <w:right w:val="single" w:sz="4" w:space="0" w:color="auto"/>
            </w:tcBorders>
            <w:shd w:val="clear" w:color="auto" w:fill="FFFFFF" w:themeFill="background1"/>
          </w:tcPr>
          <w:p w14:paraId="268FE970"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100 (1.1)</w:t>
            </w:r>
          </w:p>
        </w:tc>
        <w:tc>
          <w:tcPr>
            <w:tcW w:w="1845" w:type="dxa"/>
            <w:vMerge/>
            <w:tcBorders>
              <w:left w:val="single" w:sz="4" w:space="0" w:color="auto"/>
            </w:tcBorders>
            <w:vAlign w:val="center"/>
          </w:tcPr>
          <w:p w14:paraId="79FB4580"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37A63B35"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Missing</w:t>
            </w:r>
          </w:p>
        </w:tc>
        <w:tc>
          <w:tcPr>
            <w:tcW w:w="1351" w:type="dxa"/>
          </w:tcPr>
          <w:p w14:paraId="7F3A35E5"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521 (5.5)</w:t>
            </w:r>
          </w:p>
        </w:tc>
      </w:tr>
      <w:tr w:rsidR="00D40A47" w:rsidRPr="00D82796" w14:paraId="17430C0F" w14:textId="77777777" w:rsidTr="00DB1117">
        <w:trPr>
          <w:cantSplit/>
          <w:jc w:val="center"/>
        </w:trPr>
        <w:tc>
          <w:tcPr>
            <w:tcW w:w="1982" w:type="dxa"/>
            <w:vMerge/>
            <w:shd w:val="clear" w:color="auto" w:fill="FFFFFF" w:themeFill="background1"/>
            <w:vAlign w:val="center"/>
          </w:tcPr>
          <w:p w14:paraId="67F0B7FD"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18CF5288"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SNNPR (7)</w:t>
            </w:r>
          </w:p>
        </w:tc>
        <w:tc>
          <w:tcPr>
            <w:tcW w:w="1350" w:type="dxa"/>
            <w:tcBorders>
              <w:right w:val="single" w:sz="4" w:space="0" w:color="auto"/>
            </w:tcBorders>
            <w:shd w:val="clear" w:color="auto" w:fill="FFFFFF" w:themeFill="background1"/>
          </w:tcPr>
          <w:p w14:paraId="649DFB47"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1947 (20.5)</w:t>
            </w:r>
          </w:p>
        </w:tc>
        <w:tc>
          <w:tcPr>
            <w:tcW w:w="1845" w:type="dxa"/>
            <w:vMerge w:val="restart"/>
            <w:tcBorders>
              <w:left w:val="single" w:sz="4" w:space="0" w:color="auto"/>
            </w:tcBorders>
            <w:vAlign w:val="center"/>
          </w:tcPr>
          <w:p w14:paraId="1BBDC4C3"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r w:rsidRPr="00D82796">
              <w:rPr>
                <w:rFonts w:ascii="Times New Roman" w:hAnsi="Times New Roman" w:cs="Times New Roman"/>
                <w:sz w:val="20"/>
                <w:szCs w:val="20"/>
              </w:rPr>
              <w:t>Had cough in last two weeks</w:t>
            </w:r>
            <w:r w:rsidRPr="00D82796">
              <w:rPr>
                <w:rFonts w:ascii="Times New Roman" w:hAnsi="Times New Roman" w:cs="Times New Roman"/>
                <w:sz w:val="20"/>
                <w:szCs w:val="20"/>
              </w:rPr>
              <w:tab/>
            </w:r>
          </w:p>
        </w:tc>
        <w:tc>
          <w:tcPr>
            <w:tcW w:w="2295" w:type="dxa"/>
          </w:tcPr>
          <w:p w14:paraId="5A322AE1"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No (0)</w:t>
            </w:r>
          </w:p>
        </w:tc>
        <w:tc>
          <w:tcPr>
            <w:tcW w:w="1351" w:type="dxa"/>
          </w:tcPr>
          <w:p w14:paraId="51A3E2DD"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7571(79.7)</w:t>
            </w:r>
          </w:p>
        </w:tc>
      </w:tr>
      <w:tr w:rsidR="00D40A47" w:rsidRPr="00D82796" w14:paraId="59970182" w14:textId="77777777" w:rsidTr="00DB1117">
        <w:trPr>
          <w:cantSplit/>
          <w:jc w:val="center"/>
        </w:trPr>
        <w:tc>
          <w:tcPr>
            <w:tcW w:w="1982" w:type="dxa"/>
            <w:vMerge/>
            <w:shd w:val="clear" w:color="auto" w:fill="FFFFFF" w:themeFill="background1"/>
            <w:vAlign w:val="center"/>
          </w:tcPr>
          <w:p w14:paraId="023251C7"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5F77E6DB"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proofErr w:type="spellStart"/>
            <w:r w:rsidRPr="00D82796">
              <w:rPr>
                <w:rFonts w:ascii="Times New Roman" w:hAnsi="Times New Roman" w:cs="Times New Roman"/>
                <w:sz w:val="20"/>
                <w:szCs w:val="20"/>
              </w:rPr>
              <w:t>Gambela</w:t>
            </w:r>
            <w:proofErr w:type="spellEnd"/>
            <w:r w:rsidRPr="00D82796">
              <w:rPr>
                <w:rFonts w:ascii="Times New Roman" w:hAnsi="Times New Roman" w:cs="Times New Roman"/>
                <w:sz w:val="20"/>
                <w:szCs w:val="20"/>
              </w:rPr>
              <w:t xml:space="preserve"> (8)</w:t>
            </w:r>
          </w:p>
        </w:tc>
        <w:tc>
          <w:tcPr>
            <w:tcW w:w="1350" w:type="dxa"/>
            <w:tcBorders>
              <w:right w:val="single" w:sz="4" w:space="0" w:color="auto"/>
            </w:tcBorders>
            <w:shd w:val="clear" w:color="auto" w:fill="FFFFFF" w:themeFill="background1"/>
          </w:tcPr>
          <w:p w14:paraId="15E035CE"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22 (0.2)</w:t>
            </w:r>
          </w:p>
        </w:tc>
        <w:tc>
          <w:tcPr>
            <w:tcW w:w="1845" w:type="dxa"/>
            <w:vMerge/>
            <w:tcBorders>
              <w:left w:val="single" w:sz="4" w:space="0" w:color="auto"/>
            </w:tcBorders>
            <w:vAlign w:val="center"/>
          </w:tcPr>
          <w:p w14:paraId="557CECF0"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349A8982"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Yes (1)</w:t>
            </w:r>
          </w:p>
        </w:tc>
        <w:tc>
          <w:tcPr>
            <w:tcW w:w="1351" w:type="dxa"/>
          </w:tcPr>
          <w:p w14:paraId="2799FD4C"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1924 (20.3)</w:t>
            </w:r>
          </w:p>
        </w:tc>
      </w:tr>
      <w:tr w:rsidR="00D40A47" w:rsidRPr="00D82796" w14:paraId="6F83CEBF" w14:textId="77777777" w:rsidTr="00DB1117">
        <w:trPr>
          <w:cantSplit/>
          <w:jc w:val="center"/>
        </w:trPr>
        <w:tc>
          <w:tcPr>
            <w:tcW w:w="1982" w:type="dxa"/>
            <w:vMerge/>
            <w:shd w:val="clear" w:color="auto" w:fill="FFFFFF" w:themeFill="background1"/>
            <w:vAlign w:val="center"/>
          </w:tcPr>
          <w:p w14:paraId="1121BB36"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5617B812"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Harari (9)</w:t>
            </w:r>
          </w:p>
        </w:tc>
        <w:tc>
          <w:tcPr>
            <w:tcW w:w="1350" w:type="dxa"/>
            <w:tcBorders>
              <w:right w:val="single" w:sz="4" w:space="0" w:color="auto"/>
            </w:tcBorders>
            <w:shd w:val="clear" w:color="auto" w:fill="FFFFFF" w:themeFill="background1"/>
          </w:tcPr>
          <w:p w14:paraId="66FD5FE1"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20 (0.2)</w:t>
            </w:r>
          </w:p>
        </w:tc>
        <w:tc>
          <w:tcPr>
            <w:tcW w:w="1845" w:type="dxa"/>
            <w:vMerge w:val="restart"/>
            <w:tcBorders>
              <w:left w:val="single" w:sz="4" w:space="0" w:color="auto"/>
            </w:tcBorders>
            <w:vAlign w:val="center"/>
          </w:tcPr>
          <w:p w14:paraId="215436AC"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r w:rsidRPr="00D82796">
              <w:rPr>
                <w:rFonts w:ascii="Times New Roman" w:hAnsi="Times New Roman" w:cs="Times New Roman"/>
                <w:sz w:val="20"/>
                <w:szCs w:val="20"/>
              </w:rPr>
              <w:t>Had diarrhea recently</w:t>
            </w:r>
          </w:p>
        </w:tc>
        <w:tc>
          <w:tcPr>
            <w:tcW w:w="2295" w:type="dxa"/>
          </w:tcPr>
          <w:p w14:paraId="36C22898"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No (0)</w:t>
            </w:r>
          </w:p>
        </w:tc>
        <w:tc>
          <w:tcPr>
            <w:tcW w:w="1351" w:type="dxa"/>
          </w:tcPr>
          <w:p w14:paraId="519C2D54"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8338 (87.8)</w:t>
            </w:r>
          </w:p>
        </w:tc>
      </w:tr>
      <w:tr w:rsidR="00D40A47" w:rsidRPr="00D82796" w14:paraId="1897EF26" w14:textId="77777777" w:rsidTr="00DB1117">
        <w:trPr>
          <w:cantSplit/>
          <w:jc w:val="center"/>
        </w:trPr>
        <w:tc>
          <w:tcPr>
            <w:tcW w:w="1982" w:type="dxa"/>
            <w:vMerge/>
            <w:shd w:val="clear" w:color="auto" w:fill="FFFFFF" w:themeFill="background1"/>
            <w:vAlign w:val="center"/>
          </w:tcPr>
          <w:p w14:paraId="2E9F706C"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35A89C9A"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 xml:space="preserve">Addis </w:t>
            </w:r>
            <w:proofErr w:type="spellStart"/>
            <w:r w:rsidRPr="00D82796">
              <w:rPr>
                <w:rFonts w:ascii="Times New Roman" w:hAnsi="Times New Roman" w:cs="Times New Roman"/>
                <w:sz w:val="20"/>
                <w:szCs w:val="20"/>
              </w:rPr>
              <w:t>Adaba</w:t>
            </w:r>
            <w:proofErr w:type="spellEnd"/>
            <w:r w:rsidRPr="00D82796">
              <w:rPr>
                <w:rFonts w:ascii="Times New Roman" w:hAnsi="Times New Roman" w:cs="Times New Roman"/>
                <w:sz w:val="20"/>
                <w:szCs w:val="20"/>
              </w:rPr>
              <w:t xml:space="preserve"> (10)</w:t>
            </w:r>
          </w:p>
        </w:tc>
        <w:tc>
          <w:tcPr>
            <w:tcW w:w="1350" w:type="dxa"/>
            <w:tcBorders>
              <w:right w:val="single" w:sz="4" w:space="0" w:color="auto"/>
            </w:tcBorders>
            <w:shd w:val="clear" w:color="auto" w:fill="FFFFFF" w:themeFill="background1"/>
          </w:tcPr>
          <w:p w14:paraId="208C90B8"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210 (2.2)</w:t>
            </w:r>
          </w:p>
        </w:tc>
        <w:tc>
          <w:tcPr>
            <w:tcW w:w="1845" w:type="dxa"/>
            <w:vMerge/>
            <w:tcBorders>
              <w:left w:val="single" w:sz="4" w:space="0" w:color="auto"/>
            </w:tcBorders>
            <w:vAlign w:val="center"/>
          </w:tcPr>
          <w:p w14:paraId="4B98B557"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3C71A3EC"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Yes (1)</w:t>
            </w:r>
          </w:p>
        </w:tc>
        <w:tc>
          <w:tcPr>
            <w:tcW w:w="1351" w:type="dxa"/>
          </w:tcPr>
          <w:p w14:paraId="6EAA5BFD"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1138 (12.0)</w:t>
            </w:r>
          </w:p>
        </w:tc>
      </w:tr>
      <w:tr w:rsidR="00D40A47" w:rsidRPr="00D82796" w14:paraId="72188985" w14:textId="77777777" w:rsidTr="00DB1117">
        <w:trPr>
          <w:cantSplit/>
          <w:jc w:val="center"/>
        </w:trPr>
        <w:tc>
          <w:tcPr>
            <w:tcW w:w="1982" w:type="dxa"/>
            <w:vMerge/>
            <w:shd w:val="clear" w:color="auto" w:fill="FFFFFF" w:themeFill="background1"/>
            <w:vAlign w:val="center"/>
          </w:tcPr>
          <w:p w14:paraId="17BE508F"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7B2549EC"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 xml:space="preserve">Dire </w:t>
            </w:r>
            <w:proofErr w:type="spellStart"/>
            <w:r w:rsidRPr="00D82796">
              <w:rPr>
                <w:rFonts w:ascii="Times New Roman" w:hAnsi="Times New Roman" w:cs="Times New Roman"/>
                <w:sz w:val="20"/>
                <w:szCs w:val="20"/>
              </w:rPr>
              <w:t>Dawa</w:t>
            </w:r>
            <w:proofErr w:type="spellEnd"/>
            <w:r w:rsidRPr="00D82796">
              <w:rPr>
                <w:rFonts w:ascii="Times New Roman" w:hAnsi="Times New Roman" w:cs="Times New Roman"/>
                <w:sz w:val="20"/>
                <w:szCs w:val="20"/>
              </w:rPr>
              <w:t xml:space="preserve"> (11)</w:t>
            </w:r>
          </w:p>
        </w:tc>
        <w:tc>
          <w:tcPr>
            <w:tcW w:w="1350" w:type="dxa"/>
            <w:tcBorders>
              <w:right w:val="single" w:sz="4" w:space="0" w:color="auto"/>
            </w:tcBorders>
            <w:shd w:val="clear" w:color="auto" w:fill="FFFFFF" w:themeFill="background1"/>
          </w:tcPr>
          <w:p w14:paraId="6091E9FA"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36 (0.4)</w:t>
            </w:r>
          </w:p>
        </w:tc>
        <w:tc>
          <w:tcPr>
            <w:tcW w:w="1845" w:type="dxa"/>
            <w:vMerge/>
            <w:tcBorders>
              <w:left w:val="single" w:sz="4" w:space="0" w:color="auto"/>
            </w:tcBorders>
            <w:vAlign w:val="center"/>
          </w:tcPr>
          <w:p w14:paraId="58CA16C7"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5BD8ACE7"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Missing</w:t>
            </w:r>
          </w:p>
        </w:tc>
        <w:tc>
          <w:tcPr>
            <w:tcW w:w="1351" w:type="dxa"/>
          </w:tcPr>
          <w:p w14:paraId="226E073E"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18 (0.2)</w:t>
            </w:r>
          </w:p>
        </w:tc>
      </w:tr>
      <w:tr w:rsidR="00D40A47" w:rsidRPr="00D82796" w14:paraId="1E0E67C7" w14:textId="77777777" w:rsidTr="00DB1117">
        <w:trPr>
          <w:cantSplit/>
          <w:jc w:val="center"/>
        </w:trPr>
        <w:tc>
          <w:tcPr>
            <w:tcW w:w="1982" w:type="dxa"/>
            <w:vMerge w:val="restart"/>
            <w:shd w:val="clear" w:color="auto" w:fill="FFFFFF" w:themeFill="background1"/>
            <w:vAlign w:val="center"/>
          </w:tcPr>
          <w:p w14:paraId="3260B5C5"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r w:rsidRPr="00D82796">
              <w:rPr>
                <w:rFonts w:ascii="Times New Roman" w:hAnsi="Times New Roman" w:cs="Times New Roman"/>
                <w:bCs/>
                <w:sz w:val="20"/>
                <w:szCs w:val="20"/>
              </w:rPr>
              <w:t>Type of place of residence</w:t>
            </w:r>
          </w:p>
        </w:tc>
        <w:tc>
          <w:tcPr>
            <w:tcW w:w="1980" w:type="dxa"/>
            <w:shd w:val="clear" w:color="auto" w:fill="FFFFFF" w:themeFill="background1"/>
          </w:tcPr>
          <w:p w14:paraId="432A032F"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Urban (1)</w:t>
            </w:r>
          </w:p>
        </w:tc>
        <w:tc>
          <w:tcPr>
            <w:tcW w:w="1350" w:type="dxa"/>
            <w:tcBorders>
              <w:right w:val="single" w:sz="4" w:space="0" w:color="auto"/>
            </w:tcBorders>
            <w:shd w:val="clear" w:color="auto" w:fill="FFFFFF" w:themeFill="background1"/>
          </w:tcPr>
          <w:p w14:paraId="3DC8F9E4"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1046 (11.0)</w:t>
            </w:r>
          </w:p>
        </w:tc>
        <w:tc>
          <w:tcPr>
            <w:tcW w:w="1845" w:type="dxa"/>
            <w:vMerge w:val="restart"/>
            <w:tcBorders>
              <w:left w:val="single" w:sz="4" w:space="0" w:color="auto"/>
            </w:tcBorders>
            <w:vAlign w:val="center"/>
          </w:tcPr>
          <w:p w14:paraId="6227752B"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r w:rsidRPr="00D82796">
              <w:rPr>
                <w:rFonts w:ascii="Times New Roman" w:hAnsi="Times New Roman" w:cs="Times New Roman"/>
                <w:sz w:val="20"/>
                <w:szCs w:val="20"/>
              </w:rPr>
              <w:t>Had fever in last two weeks</w:t>
            </w:r>
          </w:p>
        </w:tc>
        <w:tc>
          <w:tcPr>
            <w:tcW w:w="2295" w:type="dxa"/>
          </w:tcPr>
          <w:p w14:paraId="1EC6EE8E"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No (0)</w:t>
            </w:r>
          </w:p>
        </w:tc>
        <w:tc>
          <w:tcPr>
            <w:tcW w:w="1351" w:type="dxa"/>
          </w:tcPr>
          <w:p w14:paraId="50BA81B2"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8087 (85.2)</w:t>
            </w:r>
          </w:p>
        </w:tc>
      </w:tr>
      <w:tr w:rsidR="00D40A47" w:rsidRPr="00D82796" w14:paraId="61D0A69A" w14:textId="77777777" w:rsidTr="00DB1117">
        <w:trPr>
          <w:cantSplit/>
          <w:jc w:val="center"/>
        </w:trPr>
        <w:tc>
          <w:tcPr>
            <w:tcW w:w="1982" w:type="dxa"/>
            <w:vMerge/>
            <w:shd w:val="clear" w:color="auto" w:fill="FFFFFF" w:themeFill="background1"/>
            <w:vAlign w:val="center"/>
          </w:tcPr>
          <w:p w14:paraId="29AFF62A"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5E837DED"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Rural (2)</w:t>
            </w:r>
          </w:p>
        </w:tc>
        <w:tc>
          <w:tcPr>
            <w:tcW w:w="1350" w:type="dxa"/>
            <w:tcBorders>
              <w:right w:val="single" w:sz="4" w:space="0" w:color="auto"/>
            </w:tcBorders>
            <w:shd w:val="clear" w:color="auto" w:fill="FFFFFF" w:themeFill="background1"/>
          </w:tcPr>
          <w:p w14:paraId="7582D0AD"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8449 (89.0)</w:t>
            </w:r>
          </w:p>
        </w:tc>
        <w:tc>
          <w:tcPr>
            <w:tcW w:w="1845" w:type="dxa"/>
            <w:vMerge/>
            <w:tcBorders>
              <w:left w:val="single" w:sz="4" w:space="0" w:color="auto"/>
            </w:tcBorders>
            <w:vAlign w:val="center"/>
          </w:tcPr>
          <w:p w14:paraId="368C660C"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4333B519"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Yes (1)</w:t>
            </w:r>
          </w:p>
        </w:tc>
        <w:tc>
          <w:tcPr>
            <w:tcW w:w="1351" w:type="dxa"/>
          </w:tcPr>
          <w:p w14:paraId="31B758A6"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1398 (14.7)</w:t>
            </w:r>
          </w:p>
        </w:tc>
      </w:tr>
      <w:tr w:rsidR="00D40A47" w:rsidRPr="00D82796" w14:paraId="5D8B2BB7" w14:textId="77777777" w:rsidTr="00DB1117">
        <w:trPr>
          <w:cantSplit/>
          <w:jc w:val="center"/>
        </w:trPr>
        <w:tc>
          <w:tcPr>
            <w:tcW w:w="1982" w:type="dxa"/>
            <w:vMerge w:val="restart"/>
            <w:shd w:val="clear" w:color="auto" w:fill="FFFFFF" w:themeFill="background1"/>
            <w:vAlign w:val="center"/>
          </w:tcPr>
          <w:p w14:paraId="1C945B08"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r w:rsidRPr="00D82796">
              <w:rPr>
                <w:rFonts w:ascii="Times New Roman" w:hAnsi="Times New Roman" w:cs="Times New Roman"/>
                <w:bCs/>
                <w:sz w:val="20"/>
                <w:szCs w:val="20"/>
              </w:rPr>
              <w:t>Sex of child</w:t>
            </w:r>
          </w:p>
        </w:tc>
        <w:tc>
          <w:tcPr>
            <w:tcW w:w="1980" w:type="dxa"/>
            <w:shd w:val="clear" w:color="auto" w:fill="FFFFFF" w:themeFill="background1"/>
          </w:tcPr>
          <w:p w14:paraId="027509C4"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Male (1)</w:t>
            </w:r>
          </w:p>
        </w:tc>
        <w:tc>
          <w:tcPr>
            <w:tcW w:w="1350" w:type="dxa"/>
            <w:tcBorders>
              <w:right w:val="single" w:sz="4" w:space="0" w:color="auto"/>
            </w:tcBorders>
            <w:shd w:val="clear" w:color="auto" w:fill="FFFFFF" w:themeFill="background1"/>
          </w:tcPr>
          <w:p w14:paraId="5F045F18"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4851(51.1)</w:t>
            </w:r>
          </w:p>
        </w:tc>
        <w:tc>
          <w:tcPr>
            <w:tcW w:w="1845" w:type="dxa"/>
            <w:vMerge/>
            <w:tcBorders>
              <w:left w:val="single" w:sz="4" w:space="0" w:color="auto"/>
            </w:tcBorders>
            <w:vAlign w:val="center"/>
          </w:tcPr>
          <w:p w14:paraId="45C11315"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1B05E4AC"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Missing</w:t>
            </w:r>
          </w:p>
        </w:tc>
        <w:tc>
          <w:tcPr>
            <w:tcW w:w="1351" w:type="dxa"/>
          </w:tcPr>
          <w:p w14:paraId="4C225E5E"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10 (0.1)</w:t>
            </w:r>
          </w:p>
        </w:tc>
      </w:tr>
      <w:tr w:rsidR="00D40A47" w:rsidRPr="00D82796" w14:paraId="7D63F1DB" w14:textId="77777777" w:rsidTr="00DB1117">
        <w:trPr>
          <w:cantSplit/>
          <w:jc w:val="center"/>
        </w:trPr>
        <w:tc>
          <w:tcPr>
            <w:tcW w:w="1982" w:type="dxa"/>
            <w:vMerge/>
            <w:shd w:val="clear" w:color="auto" w:fill="FFFFFF" w:themeFill="background1"/>
            <w:vAlign w:val="center"/>
          </w:tcPr>
          <w:p w14:paraId="3F18F714"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3BCB8DD0"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Female (2)</w:t>
            </w:r>
          </w:p>
        </w:tc>
        <w:tc>
          <w:tcPr>
            <w:tcW w:w="1350" w:type="dxa"/>
            <w:tcBorders>
              <w:right w:val="single" w:sz="4" w:space="0" w:color="auto"/>
            </w:tcBorders>
            <w:shd w:val="clear" w:color="auto" w:fill="FFFFFF" w:themeFill="background1"/>
          </w:tcPr>
          <w:p w14:paraId="0B0C2C59"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4644 (48.9)</w:t>
            </w:r>
          </w:p>
        </w:tc>
        <w:tc>
          <w:tcPr>
            <w:tcW w:w="1845" w:type="dxa"/>
            <w:vMerge w:val="restart"/>
            <w:tcBorders>
              <w:left w:val="single" w:sz="4" w:space="0" w:color="auto"/>
            </w:tcBorders>
            <w:vAlign w:val="center"/>
          </w:tcPr>
          <w:p w14:paraId="6D0E0641"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r w:rsidRPr="00D82796">
              <w:rPr>
                <w:rFonts w:ascii="Times New Roman" w:hAnsi="Times New Roman" w:cs="Times New Roman"/>
                <w:sz w:val="20"/>
                <w:szCs w:val="20"/>
              </w:rPr>
              <w:t>Husband/partner's education</w:t>
            </w:r>
          </w:p>
        </w:tc>
        <w:tc>
          <w:tcPr>
            <w:tcW w:w="2295" w:type="dxa"/>
          </w:tcPr>
          <w:p w14:paraId="4E12E718"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No education (0)</w:t>
            </w:r>
          </w:p>
        </w:tc>
        <w:tc>
          <w:tcPr>
            <w:tcW w:w="1351" w:type="dxa"/>
          </w:tcPr>
          <w:p w14:paraId="46386ABF"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4266 (44.9)</w:t>
            </w:r>
          </w:p>
        </w:tc>
      </w:tr>
      <w:tr w:rsidR="00D40A47" w:rsidRPr="00D82796" w14:paraId="0D0A5A34" w14:textId="77777777" w:rsidTr="00DB1117">
        <w:trPr>
          <w:cantSplit/>
          <w:jc w:val="center"/>
        </w:trPr>
        <w:tc>
          <w:tcPr>
            <w:tcW w:w="1982" w:type="dxa"/>
            <w:vMerge w:val="restart"/>
            <w:shd w:val="clear" w:color="auto" w:fill="FFFFFF" w:themeFill="background1"/>
            <w:vAlign w:val="center"/>
          </w:tcPr>
          <w:p w14:paraId="7E4261E8"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r w:rsidRPr="00D82796">
              <w:rPr>
                <w:rFonts w:ascii="Times New Roman" w:hAnsi="Times New Roman" w:cs="Times New Roman"/>
                <w:bCs/>
                <w:sz w:val="20"/>
                <w:szCs w:val="20"/>
              </w:rPr>
              <w:t>Age of child</w:t>
            </w:r>
          </w:p>
        </w:tc>
        <w:tc>
          <w:tcPr>
            <w:tcW w:w="1980" w:type="dxa"/>
            <w:shd w:val="clear" w:color="auto" w:fill="FFFFFF" w:themeFill="background1"/>
          </w:tcPr>
          <w:p w14:paraId="53B2EB27"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0-5 (0)</w:t>
            </w:r>
          </w:p>
        </w:tc>
        <w:tc>
          <w:tcPr>
            <w:tcW w:w="1350" w:type="dxa"/>
            <w:tcBorders>
              <w:right w:val="single" w:sz="4" w:space="0" w:color="auto"/>
            </w:tcBorders>
            <w:shd w:val="clear" w:color="auto" w:fill="FFFFFF" w:themeFill="background1"/>
          </w:tcPr>
          <w:p w14:paraId="11F42A56"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1041 (11.0)</w:t>
            </w:r>
          </w:p>
        </w:tc>
        <w:tc>
          <w:tcPr>
            <w:tcW w:w="1845" w:type="dxa"/>
            <w:vMerge/>
            <w:tcBorders>
              <w:left w:val="single" w:sz="4" w:space="0" w:color="auto"/>
            </w:tcBorders>
            <w:vAlign w:val="center"/>
          </w:tcPr>
          <w:p w14:paraId="5F08DFAF"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727A307C"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Primary (1)</w:t>
            </w:r>
          </w:p>
        </w:tc>
        <w:tc>
          <w:tcPr>
            <w:tcW w:w="1351" w:type="dxa"/>
          </w:tcPr>
          <w:p w14:paraId="54A3052C"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3598 (37.9)</w:t>
            </w:r>
          </w:p>
        </w:tc>
      </w:tr>
      <w:tr w:rsidR="00D40A47" w:rsidRPr="00D82796" w14:paraId="460185B9" w14:textId="77777777" w:rsidTr="00DB1117">
        <w:trPr>
          <w:cantSplit/>
          <w:jc w:val="center"/>
        </w:trPr>
        <w:tc>
          <w:tcPr>
            <w:tcW w:w="1982" w:type="dxa"/>
            <w:vMerge/>
            <w:shd w:val="clear" w:color="auto" w:fill="FFFFFF" w:themeFill="background1"/>
            <w:vAlign w:val="center"/>
          </w:tcPr>
          <w:p w14:paraId="613341F9"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0676D96F"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6-11 (1)</w:t>
            </w:r>
          </w:p>
        </w:tc>
        <w:tc>
          <w:tcPr>
            <w:tcW w:w="1350" w:type="dxa"/>
            <w:tcBorders>
              <w:right w:val="single" w:sz="4" w:space="0" w:color="auto"/>
            </w:tcBorders>
            <w:shd w:val="clear" w:color="auto" w:fill="FFFFFF" w:themeFill="background1"/>
          </w:tcPr>
          <w:p w14:paraId="188020FD"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1021 (10.8)</w:t>
            </w:r>
          </w:p>
        </w:tc>
        <w:tc>
          <w:tcPr>
            <w:tcW w:w="1845" w:type="dxa"/>
            <w:vMerge/>
            <w:tcBorders>
              <w:left w:val="single" w:sz="4" w:space="0" w:color="auto"/>
            </w:tcBorders>
            <w:vAlign w:val="center"/>
          </w:tcPr>
          <w:p w14:paraId="067E3D17"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33FA5128"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Secondary &amp; above (2)</w:t>
            </w:r>
          </w:p>
        </w:tc>
        <w:tc>
          <w:tcPr>
            <w:tcW w:w="1351" w:type="dxa"/>
          </w:tcPr>
          <w:p w14:paraId="25082F0B"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1086 (11.4)</w:t>
            </w:r>
          </w:p>
        </w:tc>
      </w:tr>
      <w:tr w:rsidR="00D40A47" w:rsidRPr="00D82796" w14:paraId="75AA0D90" w14:textId="77777777" w:rsidTr="00DB1117">
        <w:trPr>
          <w:cantSplit/>
          <w:jc w:val="center"/>
        </w:trPr>
        <w:tc>
          <w:tcPr>
            <w:tcW w:w="1982" w:type="dxa"/>
            <w:vMerge/>
            <w:shd w:val="clear" w:color="auto" w:fill="FFFFFF" w:themeFill="background1"/>
            <w:vAlign w:val="center"/>
          </w:tcPr>
          <w:p w14:paraId="4373E40C"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50007208"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12-23 (2)</w:t>
            </w:r>
          </w:p>
        </w:tc>
        <w:tc>
          <w:tcPr>
            <w:tcW w:w="1350" w:type="dxa"/>
            <w:tcBorders>
              <w:right w:val="single" w:sz="4" w:space="0" w:color="auto"/>
            </w:tcBorders>
            <w:shd w:val="clear" w:color="auto" w:fill="FFFFFF" w:themeFill="background1"/>
          </w:tcPr>
          <w:p w14:paraId="3C23764C"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1896 (20.0)</w:t>
            </w:r>
          </w:p>
        </w:tc>
        <w:tc>
          <w:tcPr>
            <w:tcW w:w="1845" w:type="dxa"/>
            <w:vMerge/>
            <w:tcBorders>
              <w:left w:val="single" w:sz="4" w:space="0" w:color="auto"/>
            </w:tcBorders>
            <w:vAlign w:val="center"/>
          </w:tcPr>
          <w:p w14:paraId="377E0FD6"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7A32507E"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Missing</w:t>
            </w:r>
          </w:p>
        </w:tc>
        <w:tc>
          <w:tcPr>
            <w:tcW w:w="1351" w:type="dxa"/>
          </w:tcPr>
          <w:p w14:paraId="7746E41C"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544 (5.7)</w:t>
            </w:r>
          </w:p>
        </w:tc>
      </w:tr>
      <w:tr w:rsidR="00D40A47" w:rsidRPr="00D82796" w14:paraId="723645F6" w14:textId="77777777" w:rsidTr="00DB1117">
        <w:trPr>
          <w:cantSplit/>
          <w:jc w:val="center"/>
        </w:trPr>
        <w:tc>
          <w:tcPr>
            <w:tcW w:w="1982" w:type="dxa"/>
            <w:vMerge/>
            <w:shd w:val="clear" w:color="auto" w:fill="FFFFFF" w:themeFill="background1"/>
            <w:vAlign w:val="center"/>
          </w:tcPr>
          <w:p w14:paraId="17D75636"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3B1303B3"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24-35 (3)</w:t>
            </w:r>
          </w:p>
        </w:tc>
        <w:tc>
          <w:tcPr>
            <w:tcW w:w="1350" w:type="dxa"/>
            <w:tcBorders>
              <w:right w:val="single" w:sz="4" w:space="0" w:color="auto"/>
            </w:tcBorders>
            <w:shd w:val="clear" w:color="auto" w:fill="FFFFFF" w:themeFill="background1"/>
          </w:tcPr>
          <w:p w14:paraId="6381B8B3"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1788 (18.8)</w:t>
            </w:r>
          </w:p>
        </w:tc>
        <w:tc>
          <w:tcPr>
            <w:tcW w:w="1845" w:type="dxa"/>
            <w:vMerge w:val="restart"/>
            <w:tcBorders>
              <w:left w:val="single" w:sz="4" w:space="0" w:color="auto"/>
            </w:tcBorders>
            <w:vAlign w:val="center"/>
          </w:tcPr>
          <w:p w14:paraId="0297A098"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roofErr w:type="gramStart"/>
            <w:r w:rsidRPr="00D82796">
              <w:rPr>
                <w:rFonts w:ascii="Times New Roman" w:hAnsi="Times New Roman" w:cs="Times New Roman"/>
                <w:sz w:val="20"/>
                <w:szCs w:val="20"/>
              </w:rPr>
              <w:t>House hold</w:t>
            </w:r>
            <w:proofErr w:type="gramEnd"/>
            <w:r w:rsidRPr="00D82796">
              <w:rPr>
                <w:rFonts w:ascii="Times New Roman" w:hAnsi="Times New Roman" w:cs="Times New Roman"/>
                <w:sz w:val="20"/>
                <w:szCs w:val="20"/>
              </w:rPr>
              <w:t xml:space="preserve"> size</w:t>
            </w:r>
          </w:p>
        </w:tc>
        <w:tc>
          <w:tcPr>
            <w:tcW w:w="2295" w:type="dxa"/>
          </w:tcPr>
          <w:p w14:paraId="0DF89A79"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1-4 (small) (0)</w:t>
            </w:r>
          </w:p>
        </w:tc>
        <w:tc>
          <w:tcPr>
            <w:tcW w:w="1351" w:type="dxa"/>
          </w:tcPr>
          <w:p w14:paraId="154AD0BB"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2432 (25.6)</w:t>
            </w:r>
          </w:p>
        </w:tc>
      </w:tr>
      <w:tr w:rsidR="00D40A47" w:rsidRPr="00D82796" w14:paraId="01BA878F" w14:textId="77777777" w:rsidTr="00DB1117">
        <w:trPr>
          <w:cantSplit/>
          <w:jc w:val="center"/>
        </w:trPr>
        <w:tc>
          <w:tcPr>
            <w:tcW w:w="1982" w:type="dxa"/>
            <w:vMerge/>
            <w:shd w:val="clear" w:color="auto" w:fill="FFFFFF" w:themeFill="background1"/>
            <w:vAlign w:val="center"/>
          </w:tcPr>
          <w:p w14:paraId="2726D8C4"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1856AE59"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36-47 (4)</w:t>
            </w:r>
          </w:p>
        </w:tc>
        <w:tc>
          <w:tcPr>
            <w:tcW w:w="1350" w:type="dxa"/>
            <w:tcBorders>
              <w:right w:val="single" w:sz="4" w:space="0" w:color="auto"/>
            </w:tcBorders>
            <w:shd w:val="clear" w:color="auto" w:fill="FFFFFF" w:themeFill="background1"/>
          </w:tcPr>
          <w:p w14:paraId="506B4953"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1820 (19.2)</w:t>
            </w:r>
          </w:p>
        </w:tc>
        <w:tc>
          <w:tcPr>
            <w:tcW w:w="1845" w:type="dxa"/>
            <w:vMerge/>
            <w:tcBorders>
              <w:left w:val="single" w:sz="4" w:space="0" w:color="auto"/>
            </w:tcBorders>
            <w:vAlign w:val="center"/>
          </w:tcPr>
          <w:p w14:paraId="3EE8C972"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03850185"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5-9 (medium (1)</w:t>
            </w:r>
          </w:p>
        </w:tc>
        <w:tc>
          <w:tcPr>
            <w:tcW w:w="1351" w:type="dxa"/>
          </w:tcPr>
          <w:p w14:paraId="2097FC66"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6500 (68.5)</w:t>
            </w:r>
          </w:p>
        </w:tc>
      </w:tr>
      <w:tr w:rsidR="00D40A47" w:rsidRPr="00D82796" w14:paraId="4416AE36" w14:textId="77777777" w:rsidTr="00DB1117">
        <w:trPr>
          <w:cantSplit/>
          <w:jc w:val="center"/>
        </w:trPr>
        <w:tc>
          <w:tcPr>
            <w:tcW w:w="1982" w:type="dxa"/>
            <w:vMerge/>
            <w:shd w:val="clear" w:color="auto" w:fill="FFFFFF" w:themeFill="background1"/>
            <w:vAlign w:val="center"/>
          </w:tcPr>
          <w:p w14:paraId="6BEF3CC2"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53FAC714"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48-59 (5)</w:t>
            </w:r>
          </w:p>
        </w:tc>
        <w:tc>
          <w:tcPr>
            <w:tcW w:w="1350" w:type="dxa"/>
            <w:tcBorders>
              <w:right w:val="single" w:sz="4" w:space="0" w:color="auto"/>
            </w:tcBorders>
            <w:shd w:val="clear" w:color="auto" w:fill="FFFFFF" w:themeFill="background1"/>
          </w:tcPr>
          <w:p w14:paraId="56B42AB3"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1929 (20.3)</w:t>
            </w:r>
          </w:p>
        </w:tc>
        <w:tc>
          <w:tcPr>
            <w:tcW w:w="1845" w:type="dxa"/>
            <w:vMerge/>
            <w:tcBorders>
              <w:left w:val="single" w:sz="4" w:space="0" w:color="auto"/>
            </w:tcBorders>
            <w:vAlign w:val="center"/>
          </w:tcPr>
          <w:p w14:paraId="58D6E619"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47463B74"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10 and more (Large) (2)</w:t>
            </w:r>
          </w:p>
        </w:tc>
        <w:tc>
          <w:tcPr>
            <w:tcW w:w="1351" w:type="dxa"/>
          </w:tcPr>
          <w:p w14:paraId="6C6399F8"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562 (5.9)</w:t>
            </w:r>
          </w:p>
        </w:tc>
      </w:tr>
      <w:tr w:rsidR="00D40A47" w:rsidRPr="00D82796" w14:paraId="67F5107A" w14:textId="77777777" w:rsidTr="00DB1117">
        <w:trPr>
          <w:cantSplit/>
          <w:jc w:val="center"/>
        </w:trPr>
        <w:tc>
          <w:tcPr>
            <w:tcW w:w="1982" w:type="dxa"/>
            <w:vMerge w:val="restart"/>
            <w:shd w:val="clear" w:color="auto" w:fill="FFFFFF" w:themeFill="background1"/>
            <w:vAlign w:val="center"/>
          </w:tcPr>
          <w:p w14:paraId="352635D8"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r w:rsidRPr="00D82796">
              <w:rPr>
                <w:rFonts w:ascii="Times New Roman" w:hAnsi="Times New Roman" w:cs="Times New Roman"/>
                <w:bCs/>
                <w:sz w:val="20"/>
                <w:szCs w:val="20"/>
              </w:rPr>
              <w:t>Birth order</w:t>
            </w:r>
          </w:p>
        </w:tc>
        <w:tc>
          <w:tcPr>
            <w:tcW w:w="1980" w:type="dxa"/>
            <w:shd w:val="clear" w:color="auto" w:fill="FFFFFF" w:themeFill="background1"/>
          </w:tcPr>
          <w:p w14:paraId="15EC6C59"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1</w:t>
            </w:r>
            <w:r w:rsidRPr="00D82796">
              <w:rPr>
                <w:rFonts w:ascii="Times New Roman" w:hAnsi="Times New Roman" w:cs="Times New Roman"/>
                <w:sz w:val="20"/>
                <w:szCs w:val="20"/>
                <w:vertAlign w:val="superscript"/>
              </w:rPr>
              <w:t>st</w:t>
            </w:r>
            <w:r w:rsidRPr="00D82796">
              <w:rPr>
                <w:rFonts w:ascii="Times New Roman" w:hAnsi="Times New Roman" w:cs="Times New Roman"/>
                <w:sz w:val="20"/>
                <w:szCs w:val="20"/>
              </w:rPr>
              <w:t xml:space="preserve"> (0)</w:t>
            </w:r>
          </w:p>
        </w:tc>
        <w:tc>
          <w:tcPr>
            <w:tcW w:w="1350" w:type="dxa"/>
            <w:tcBorders>
              <w:right w:val="single" w:sz="4" w:space="0" w:color="auto"/>
            </w:tcBorders>
            <w:shd w:val="clear" w:color="auto" w:fill="FFFFFF" w:themeFill="background1"/>
          </w:tcPr>
          <w:p w14:paraId="2A0553BF"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1741(18.3)</w:t>
            </w:r>
          </w:p>
        </w:tc>
        <w:tc>
          <w:tcPr>
            <w:tcW w:w="1845" w:type="dxa"/>
            <w:vMerge w:val="restart"/>
            <w:tcBorders>
              <w:left w:val="single" w:sz="4" w:space="0" w:color="auto"/>
            </w:tcBorders>
            <w:vAlign w:val="center"/>
          </w:tcPr>
          <w:p w14:paraId="296A8FD1"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r w:rsidRPr="00D82796">
              <w:rPr>
                <w:rFonts w:ascii="Times New Roman" w:hAnsi="Times New Roman" w:cs="Times New Roman"/>
                <w:sz w:val="20"/>
                <w:szCs w:val="20"/>
              </w:rPr>
              <w:t>Source of drinking water</w:t>
            </w:r>
          </w:p>
        </w:tc>
        <w:tc>
          <w:tcPr>
            <w:tcW w:w="2295" w:type="dxa"/>
          </w:tcPr>
          <w:p w14:paraId="781C1F10"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unimproved source (0)</w:t>
            </w:r>
          </w:p>
        </w:tc>
        <w:tc>
          <w:tcPr>
            <w:tcW w:w="1351" w:type="dxa"/>
          </w:tcPr>
          <w:p w14:paraId="69E0965B"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4102 (43.2)</w:t>
            </w:r>
          </w:p>
        </w:tc>
      </w:tr>
      <w:tr w:rsidR="00D40A47" w:rsidRPr="00D82796" w14:paraId="35184621" w14:textId="77777777" w:rsidTr="00DB1117">
        <w:trPr>
          <w:cantSplit/>
          <w:jc w:val="center"/>
        </w:trPr>
        <w:tc>
          <w:tcPr>
            <w:tcW w:w="1982" w:type="dxa"/>
            <w:vMerge/>
            <w:shd w:val="clear" w:color="auto" w:fill="FFFFFF" w:themeFill="background1"/>
            <w:vAlign w:val="center"/>
          </w:tcPr>
          <w:p w14:paraId="3F85F5FB"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113A79F9"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2-3 (1)</w:t>
            </w:r>
          </w:p>
        </w:tc>
        <w:tc>
          <w:tcPr>
            <w:tcW w:w="1350" w:type="dxa"/>
            <w:tcBorders>
              <w:right w:val="single" w:sz="4" w:space="0" w:color="auto"/>
            </w:tcBorders>
            <w:shd w:val="clear" w:color="auto" w:fill="FFFFFF" w:themeFill="background1"/>
          </w:tcPr>
          <w:p w14:paraId="0B660C7E"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2919 (30.7)</w:t>
            </w:r>
          </w:p>
        </w:tc>
        <w:tc>
          <w:tcPr>
            <w:tcW w:w="1845" w:type="dxa"/>
            <w:vMerge/>
            <w:tcBorders>
              <w:left w:val="single" w:sz="4" w:space="0" w:color="auto"/>
            </w:tcBorders>
          </w:tcPr>
          <w:p w14:paraId="64F9F8BD"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2295" w:type="dxa"/>
          </w:tcPr>
          <w:p w14:paraId="64C868FD"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Improved source (1)</w:t>
            </w:r>
          </w:p>
        </w:tc>
        <w:tc>
          <w:tcPr>
            <w:tcW w:w="1351" w:type="dxa"/>
          </w:tcPr>
          <w:p w14:paraId="77709530"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5278 (55.6)</w:t>
            </w:r>
          </w:p>
        </w:tc>
      </w:tr>
      <w:tr w:rsidR="00D40A47" w:rsidRPr="00D82796" w14:paraId="627A514F" w14:textId="77777777" w:rsidTr="00DB1117">
        <w:trPr>
          <w:cantSplit/>
          <w:jc w:val="center"/>
        </w:trPr>
        <w:tc>
          <w:tcPr>
            <w:tcW w:w="1982" w:type="dxa"/>
            <w:vMerge/>
            <w:shd w:val="clear" w:color="auto" w:fill="FFFFFF" w:themeFill="background1"/>
            <w:vAlign w:val="center"/>
          </w:tcPr>
          <w:p w14:paraId="7F4724D8"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675D6FE6"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4-5 (2)</w:t>
            </w:r>
          </w:p>
        </w:tc>
        <w:tc>
          <w:tcPr>
            <w:tcW w:w="1350" w:type="dxa"/>
            <w:tcBorders>
              <w:right w:val="single" w:sz="4" w:space="0" w:color="auto"/>
            </w:tcBorders>
            <w:shd w:val="clear" w:color="auto" w:fill="FFFFFF" w:themeFill="background1"/>
          </w:tcPr>
          <w:p w14:paraId="069AA718"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2276 (24.0)</w:t>
            </w:r>
          </w:p>
        </w:tc>
        <w:tc>
          <w:tcPr>
            <w:tcW w:w="1845" w:type="dxa"/>
            <w:vMerge/>
            <w:tcBorders>
              <w:left w:val="single" w:sz="4" w:space="0" w:color="auto"/>
            </w:tcBorders>
          </w:tcPr>
          <w:p w14:paraId="760903B4"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2295" w:type="dxa"/>
          </w:tcPr>
          <w:p w14:paraId="52E0153D"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Missing</w:t>
            </w:r>
          </w:p>
        </w:tc>
        <w:tc>
          <w:tcPr>
            <w:tcW w:w="1351" w:type="dxa"/>
          </w:tcPr>
          <w:p w14:paraId="799BA0F2"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115 (1.2)</w:t>
            </w:r>
          </w:p>
        </w:tc>
      </w:tr>
      <w:tr w:rsidR="00D40A47" w:rsidRPr="00D82796" w14:paraId="77811A2A" w14:textId="77777777" w:rsidTr="00DB1117">
        <w:trPr>
          <w:cantSplit/>
          <w:jc w:val="center"/>
        </w:trPr>
        <w:tc>
          <w:tcPr>
            <w:tcW w:w="1982" w:type="dxa"/>
            <w:vMerge/>
            <w:shd w:val="clear" w:color="auto" w:fill="FFFFFF" w:themeFill="background1"/>
            <w:vAlign w:val="center"/>
          </w:tcPr>
          <w:p w14:paraId="098E2509"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2D2F7BE0"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6 and more (3)</w:t>
            </w:r>
          </w:p>
        </w:tc>
        <w:tc>
          <w:tcPr>
            <w:tcW w:w="1350" w:type="dxa"/>
            <w:tcBorders>
              <w:right w:val="single" w:sz="4" w:space="0" w:color="auto"/>
            </w:tcBorders>
            <w:shd w:val="clear" w:color="auto" w:fill="FFFFFF" w:themeFill="background1"/>
          </w:tcPr>
          <w:p w14:paraId="11AFFD4B"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2558 (26.9)</w:t>
            </w:r>
          </w:p>
        </w:tc>
        <w:tc>
          <w:tcPr>
            <w:tcW w:w="1845" w:type="dxa"/>
            <w:vMerge w:val="restart"/>
            <w:tcBorders>
              <w:left w:val="single" w:sz="4" w:space="0" w:color="auto"/>
            </w:tcBorders>
            <w:vAlign w:val="center"/>
          </w:tcPr>
          <w:p w14:paraId="2794F393" w14:textId="77777777" w:rsidR="00D40A47" w:rsidRPr="00D82796" w:rsidRDefault="00D40A47" w:rsidP="00DB1117">
            <w:pPr>
              <w:spacing w:after="0" w:line="240" w:lineRule="auto"/>
              <w:jc w:val="right"/>
              <w:rPr>
                <w:rFonts w:ascii="Times New Roman" w:hAnsi="Times New Roman" w:cs="Times New Roman"/>
                <w:sz w:val="20"/>
                <w:szCs w:val="20"/>
              </w:rPr>
            </w:pPr>
            <w:r w:rsidRPr="00D82796">
              <w:rPr>
                <w:rFonts w:ascii="Times New Roman" w:hAnsi="Times New Roman" w:cs="Times New Roman"/>
                <w:sz w:val="20"/>
                <w:szCs w:val="20"/>
              </w:rPr>
              <w:t>Multiple birth</w:t>
            </w:r>
            <w:r w:rsidRPr="00D82796">
              <w:rPr>
                <w:rFonts w:ascii="Times New Roman" w:hAnsi="Times New Roman" w:cs="Times New Roman"/>
                <w:sz w:val="20"/>
                <w:szCs w:val="20"/>
              </w:rPr>
              <w:tab/>
            </w:r>
          </w:p>
        </w:tc>
        <w:tc>
          <w:tcPr>
            <w:tcW w:w="2295" w:type="dxa"/>
          </w:tcPr>
          <w:p w14:paraId="18511344"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Single birth (0)</w:t>
            </w:r>
          </w:p>
        </w:tc>
        <w:tc>
          <w:tcPr>
            <w:tcW w:w="1351" w:type="dxa"/>
          </w:tcPr>
          <w:p w14:paraId="795CC867"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9270 (97.6)</w:t>
            </w:r>
          </w:p>
        </w:tc>
      </w:tr>
      <w:tr w:rsidR="00D40A47" w:rsidRPr="00D82796" w14:paraId="7FE128E4" w14:textId="77777777" w:rsidTr="00DB1117">
        <w:trPr>
          <w:cantSplit/>
          <w:jc w:val="center"/>
        </w:trPr>
        <w:tc>
          <w:tcPr>
            <w:tcW w:w="1982" w:type="dxa"/>
            <w:vMerge w:val="restart"/>
            <w:shd w:val="clear" w:color="auto" w:fill="FFFFFF" w:themeFill="background1"/>
            <w:vAlign w:val="center"/>
          </w:tcPr>
          <w:p w14:paraId="2ED5BC1D"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r w:rsidRPr="00D82796">
              <w:rPr>
                <w:rFonts w:ascii="Times New Roman" w:hAnsi="Times New Roman" w:cs="Times New Roman"/>
                <w:bCs/>
                <w:sz w:val="20"/>
                <w:szCs w:val="20"/>
              </w:rPr>
              <w:t>Wealth index</w:t>
            </w:r>
          </w:p>
        </w:tc>
        <w:tc>
          <w:tcPr>
            <w:tcW w:w="1980" w:type="dxa"/>
            <w:shd w:val="clear" w:color="auto" w:fill="FFFFFF" w:themeFill="background1"/>
          </w:tcPr>
          <w:p w14:paraId="589E6BF1"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Poorest (1)</w:t>
            </w:r>
          </w:p>
        </w:tc>
        <w:tc>
          <w:tcPr>
            <w:tcW w:w="1350" w:type="dxa"/>
            <w:tcBorders>
              <w:right w:val="single" w:sz="4" w:space="0" w:color="auto"/>
            </w:tcBorders>
            <w:shd w:val="clear" w:color="auto" w:fill="FFFFFF" w:themeFill="background1"/>
          </w:tcPr>
          <w:p w14:paraId="509FDA5C"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2188 (23.0)</w:t>
            </w:r>
          </w:p>
        </w:tc>
        <w:tc>
          <w:tcPr>
            <w:tcW w:w="1845" w:type="dxa"/>
            <w:vMerge/>
            <w:tcBorders>
              <w:left w:val="single" w:sz="4" w:space="0" w:color="auto"/>
            </w:tcBorders>
            <w:vAlign w:val="center"/>
          </w:tcPr>
          <w:p w14:paraId="1F88E526"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2295" w:type="dxa"/>
          </w:tcPr>
          <w:p w14:paraId="61CBA198"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1</w:t>
            </w:r>
            <w:r w:rsidRPr="00D82796">
              <w:rPr>
                <w:rFonts w:ascii="Times New Roman" w:hAnsi="Times New Roman" w:cs="Times New Roman"/>
                <w:sz w:val="20"/>
                <w:szCs w:val="20"/>
                <w:vertAlign w:val="superscript"/>
              </w:rPr>
              <w:t>st</w:t>
            </w:r>
            <w:r w:rsidRPr="00D82796">
              <w:rPr>
                <w:rFonts w:ascii="Times New Roman" w:hAnsi="Times New Roman" w:cs="Times New Roman"/>
                <w:sz w:val="20"/>
                <w:szCs w:val="20"/>
              </w:rPr>
              <w:t xml:space="preserve">   of multiple (1)</w:t>
            </w:r>
          </w:p>
        </w:tc>
        <w:tc>
          <w:tcPr>
            <w:tcW w:w="1351" w:type="dxa"/>
          </w:tcPr>
          <w:p w14:paraId="5C03264C"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121 (1.3)</w:t>
            </w:r>
          </w:p>
        </w:tc>
      </w:tr>
      <w:tr w:rsidR="00D40A47" w:rsidRPr="00D82796" w14:paraId="7BD27C18" w14:textId="77777777" w:rsidTr="00DB1117">
        <w:trPr>
          <w:cantSplit/>
          <w:jc w:val="center"/>
        </w:trPr>
        <w:tc>
          <w:tcPr>
            <w:tcW w:w="1982" w:type="dxa"/>
            <w:vMerge/>
            <w:shd w:val="clear" w:color="auto" w:fill="FFFFFF" w:themeFill="background1"/>
            <w:vAlign w:val="center"/>
          </w:tcPr>
          <w:p w14:paraId="7BEAB99F"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76E00045"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Poorer (2)</w:t>
            </w:r>
          </w:p>
        </w:tc>
        <w:tc>
          <w:tcPr>
            <w:tcW w:w="1350" w:type="dxa"/>
            <w:tcBorders>
              <w:right w:val="single" w:sz="4" w:space="0" w:color="auto"/>
            </w:tcBorders>
            <w:shd w:val="clear" w:color="auto" w:fill="FFFFFF" w:themeFill="background1"/>
          </w:tcPr>
          <w:p w14:paraId="0A774C7C"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2226 (23.4)</w:t>
            </w:r>
          </w:p>
        </w:tc>
        <w:tc>
          <w:tcPr>
            <w:tcW w:w="1845" w:type="dxa"/>
            <w:vMerge/>
            <w:tcBorders>
              <w:left w:val="single" w:sz="4" w:space="0" w:color="auto"/>
            </w:tcBorders>
            <w:vAlign w:val="center"/>
          </w:tcPr>
          <w:p w14:paraId="1DBDD670"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2295" w:type="dxa"/>
          </w:tcPr>
          <w:p w14:paraId="16D852AB"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2</w:t>
            </w:r>
            <w:proofErr w:type="gramStart"/>
            <w:r w:rsidRPr="00D82796">
              <w:rPr>
                <w:rFonts w:ascii="Times New Roman" w:hAnsi="Times New Roman" w:cs="Times New Roman"/>
                <w:sz w:val="20"/>
                <w:szCs w:val="20"/>
                <w:vertAlign w:val="superscript"/>
              </w:rPr>
              <w:t>nd</w:t>
            </w:r>
            <w:r w:rsidRPr="00D82796">
              <w:rPr>
                <w:rFonts w:ascii="Times New Roman" w:hAnsi="Times New Roman" w:cs="Times New Roman"/>
                <w:sz w:val="20"/>
                <w:szCs w:val="20"/>
              </w:rPr>
              <w:t xml:space="preserve">  of</w:t>
            </w:r>
            <w:proofErr w:type="gramEnd"/>
            <w:r w:rsidRPr="00D82796">
              <w:rPr>
                <w:rFonts w:ascii="Times New Roman" w:hAnsi="Times New Roman" w:cs="Times New Roman"/>
                <w:sz w:val="20"/>
                <w:szCs w:val="20"/>
              </w:rPr>
              <w:t xml:space="preserve"> multiple (2)</w:t>
            </w:r>
          </w:p>
        </w:tc>
        <w:tc>
          <w:tcPr>
            <w:tcW w:w="1351" w:type="dxa"/>
          </w:tcPr>
          <w:p w14:paraId="03E824A5"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104 (1.1)</w:t>
            </w:r>
          </w:p>
        </w:tc>
      </w:tr>
      <w:tr w:rsidR="00D40A47" w:rsidRPr="00D82796" w14:paraId="08B72F53" w14:textId="77777777" w:rsidTr="00DB1117">
        <w:trPr>
          <w:cantSplit/>
          <w:jc w:val="center"/>
        </w:trPr>
        <w:tc>
          <w:tcPr>
            <w:tcW w:w="1982" w:type="dxa"/>
            <w:vMerge/>
            <w:shd w:val="clear" w:color="auto" w:fill="FFFFFF" w:themeFill="background1"/>
            <w:vAlign w:val="center"/>
          </w:tcPr>
          <w:p w14:paraId="54EFA0B9"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07F5CABA"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Middle (3)</w:t>
            </w:r>
          </w:p>
        </w:tc>
        <w:tc>
          <w:tcPr>
            <w:tcW w:w="1350" w:type="dxa"/>
            <w:tcBorders>
              <w:right w:val="single" w:sz="4" w:space="0" w:color="auto"/>
            </w:tcBorders>
            <w:shd w:val="clear" w:color="auto" w:fill="FFFFFF" w:themeFill="background1"/>
          </w:tcPr>
          <w:p w14:paraId="7B6EFC29"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2001(21.1)</w:t>
            </w:r>
          </w:p>
        </w:tc>
        <w:tc>
          <w:tcPr>
            <w:tcW w:w="1845" w:type="dxa"/>
            <w:vMerge w:val="restart"/>
            <w:tcBorders>
              <w:left w:val="single" w:sz="4" w:space="0" w:color="auto"/>
            </w:tcBorders>
            <w:vAlign w:val="center"/>
          </w:tcPr>
          <w:p w14:paraId="6BCCB2BE" w14:textId="77777777" w:rsidR="00D40A47" w:rsidRPr="00D82796" w:rsidRDefault="00D40A47" w:rsidP="00DB1117">
            <w:pPr>
              <w:spacing w:after="0" w:line="240" w:lineRule="auto"/>
              <w:jc w:val="right"/>
              <w:rPr>
                <w:rFonts w:ascii="Times New Roman" w:hAnsi="Times New Roman" w:cs="Times New Roman"/>
                <w:sz w:val="20"/>
                <w:szCs w:val="20"/>
              </w:rPr>
            </w:pPr>
            <w:r w:rsidRPr="00D82796">
              <w:rPr>
                <w:rFonts w:ascii="Times New Roman" w:hAnsi="Times New Roman" w:cs="Times New Roman"/>
                <w:sz w:val="20"/>
                <w:szCs w:val="20"/>
              </w:rPr>
              <w:t>Educational level</w:t>
            </w:r>
          </w:p>
          <w:p w14:paraId="26F21AFC"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r w:rsidRPr="00D82796">
              <w:rPr>
                <w:rFonts w:ascii="Times New Roman" w:hAnsi="Times New Roman" w:cs="Times New Roman"/>
                <w:sz w:val="20"/>
                <w:szCs w:val="20"/>
              </w:rPr>
              <w:t>of mother</w:t>
            </w:r>
          </w:p>
        </w:tc>
        <w:tc>
          <w:tcPr>
            <w:tcW w:w="2295" w:type="dxa"/>
          </w:tcPr>
          <w:p w14:paraId="3102080B"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No education (0)</w:t>
            </w:r>
          </w:p>
        </w:tc>
        <w:tc>
          <w:tcPr>
            <w:tcW w:w="1351" w:type="dxa"/>
          </w:tcPr>
          <w:p w14:paraId="35FB6750"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6225 (65.6)</w:t>
            </w:r>
          </w:p>
        </w:tc>
      </w:tr>
      <w:tr w:rsidR="00D40A47" w:rsidRPr="00D82796" w14:paraId="604030CB" w14:textId="77777777" w:rsidTr="00DB1117">
        <w:trPr>
          <w:cantSplit/>
          <w:jc w:val="center"/>
        </w:trPr>
        <w:tc>
          <w:tcPr>
            <w:tcW w:w="1982" w:type="dxa"/>
            <w:vMerge/>
            <w:shd w:val="clear" w:color="auto" w:fill="FFFFFF" w:themeFill="background1"/>
            <w:vAlign w:val="center"/>
          </w:tcPr>
          <w:p w14:paraId="769F2CA9"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5381415C"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Richer (4)</w:t>
            </w:r>
          </w:p>
        </w:tc>
        <w:tc>
          <w:tcPr>
            <w:tcW w:w="1350" w:type="dxa"/>
            <w:tcBorders>
              <w:right w:val="single" w:sz="4" w:space="0" w:color="auto"/>
            </w:tcBorders>
            <w:shd w:val="clear" w:color="auto" w:fill="FFFFFF" w:themeFill="background1"/>
          </w:tcPr>
          <w:p w14:paraId="20B54AE7"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1722 (18.1)</w:t>
            </w:r>
          </w:p>
        </w:tc>
        <w:tc>
          <w:tcPr>
            <w:tcW w:w="1845" w:type="dxa"/>
            <w:vMerge/>
            <w:tcBorders>
              <w:left w:val="single" w:sz="4" w:space="0" w:color="auto"/>
            </w:tcBorders>
            <w:vAlign w:val="center"/>
          </w:tcPr>
          <w:p w14:paraId="660749A5"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2295" w:type="dxa"/>
          </w:tcPr>
          <w:p w14:paraId="40A134F4"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Primary (1)</w:t>
            </w:r>
          </w:p>
        </w:tc>
        <w:tc>
          <w:tcPr>
            <w:tcW w:w="1351" w:type="dxa"/>
          </w:tcPr>
          <w:p w14:paraId="037951B5"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2600 (27.4)</w:t>
            </w:r>
          </w:p>
        </w:tc>
      </w:tr>
      <w:tr w:rsidR="00D40A47" w:rsidRPr="00D82796" w14:paraId="2B30EAFB" w14:textId="77777777" w:rsidTr="00DB1117">
        <w:trPr>
          <w:cantSplit/>
          <w:jc w:val="center"/>
        </w:trPr>
        <w:tc>
          <w:tcPr>
            <w:tcW w:w="1982" w:type="dxa"/>
            <w:vMerge/>
            <w:shd w:val="clear" w:color="auto" w:fill="FFFFFF" w:themeFill="background1"/>
            <w:vAlign w:val="center"/>
          </w:tcPr>
          <w:p w14:paraId="199CC3C0"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2E0E54B9"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Richest (5)</w:t>
            </w:r>
          </w:p>
        </w:tc>
        <w:tc>
          <w:tcPr>
            <w:tcW w:w="1350" w:type="dxa"/>
            <w:tcBorders>
              <w:right w:val="single" w:sz="4" w:space="0" w:color="auto"/>
            </w:tcBorders>
            <w:shd w:val="clear" w:color="auto" w:fill="FFFFFF" w:themeFill="background1"/>
          </w:tcPr>
          <w:p w14:paraId="76D50AFB"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1358 (14.3)</w:t>
            </w:r>
          </w:p>
        </w:tc>
        <w:tc>
          <w:tcPr>
            <w:tcW w:w="1845" w:type="dxa"/>
            <w:vMerge/>
            <w:tcBorders>
              <w:left w:val="single" w:sz="4" w:space="0" w:color="auto"/>
            </w:tcBorders>
            <w:vAlign w:val="center"/>
          </w:tcPr>
          <w:p w14:paraId="66132DDA"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2295" w:type="dxa"/>
          </w:tcPr>
          <w:p w14:paraId="08D2E8FA"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Secondary &amp; above (2)</w:t>
            </w:r>
          </w:p>
        </w:tc>
        <w:tc>
          <w:tcPr>
            <w:tcW w:w="1351" w:type="dxa"/>
          </w:tcPr>
          <w:p w14:paraId="1E407E10"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670 (7.0)</w:t>
            </w:r>
          </w:p>
        </w:tc>
      </w:tr>
      <w:tr w:rsidR="00D40A47" w:rsidRPr="00D82796" w14:paraId="4383AA6D" w14:textId="77777777" w:rsidTr="00DB1117">
        <w:trPr>
          <w:cantSplit/>
          <w:jc w:val="center"/>
        </w:trPr>
        <w:tc>
          <w:tcPr>
            <w:tcW w:w="1982" w:type="dxa"/>
            <w:vMerge w:val="restart"/>
            <w:shd w:val="clear" w:color="auto" w:fill="FFFFFF" w:themeFill="background1"/>
            <w:vAlign w:val="center"/>
          </w:tcPr>
          <w:p w14:paraId="0EB35762"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r w:rsidRPr="00D82796">
              <w:rPr>
                <w:rFonts w:ascii="Times New Roman" w:hAnsi="Times New Roman" w:cs="Times New Roman"/>
                <w:sz w:val="20"/>
                <w:szCs w:val="20"/>
              </w:rPr>
              <w:t>N</w:t>
            </w:r>
            <w:r w:rsidRPr="00D82796">
              <w:rPr>
                <w:rFonts w:ascii="Times New Roman" w:hAnsi="Times New Roman" w:cs="Times New Roman"/>
                <w:sz w:val="20"/>
                <w:szCs w:val="20"/>
                <w:u w:val="single"/>
              </w:rPr>
              <w:t>o</w:t>
            </w:r>
            <w:r w:rsidRPr="00D82796">
              <w:rPr>
                <w:rFonts w:ascii="Times New Roman" w:hAnsi="Times New Roman" w:cs="Times New Roman"/>
                <w:sz w:val="20"/>
                <w:szCs w:val="20"/>
              </w:rPr>
              <w:t xml:space="preserve"> of children under five </w:t>
            </w:r>
            <w:proofErr w:type="gramStart"/>
            <w:r w:rsidRPr="00D82796">
              <w:rPr>
                <w:rFonts w:ascii="Times New Roman" w:hAnsi="Times New Roman" w:cs="Times New Roman"/>
                <w:sz w:val="20"/>
                <w:szCs w:val="20"/>
              </w:rPr>
              <w:t>years  in</w:t>
            </w:r>
            <w:proofErr w:type="gramEnd"/>
            <w:r w:rsidRPr="00D82796">
              <w:rPr>
                <w:rFonts w:ascii="Times New Roman" w:hAnsi="Times New Roman" w:cs="Times New Roman"/>
                <w:sz w:val="20"/>
                <w:szCs w:val="20"/>
              </w:rPr>
              <w:t xml:space="preserve"> the household</w:t>
            </w:r>
          </w:p>
        </w:tc>
        <w:tc>
          <w:tcPr>
            <w:tcW w:w="1980" w:type="dxa"/>
            <w:shd w:val="clear" w:color="auto" w:fill="FFFFFF" w:themeFill="background1"/>
          </w:tcPr>
          <w:p w14:paraId="112C06EC"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1(0)</w:t>
            </w:r>
          </w:p>
        </w:tc>
        <w:tc>
          <w:tcPr>
            <w:tcW w:w="1350" w:type="dxa"/>
            <w:tcBorders>
              <w:right w:val="single" w:sz="4" w:space="0" w:color="auto"/>
            </w:tcBorders>
            <w:shd w:val="clear" w:color="auto" w:fill="FFFFFF" w:themeFill="background1"/>
          </w:tcPr>
          <w:p w14:paraId="611247AD"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5860 (61.7)</w:t>
            </w:r>
          </w:p>
        </w:tc>
        <w:tc>
          <w:tcPr>
            <w:tcW w:w="1845" w:type="dxa"/>
            <w:vMerge w:val="restart"/>
            <w:tcBorders>
              <w:left w:val="single" w:sz="4" w:space="0" w:color="auto"/>
            </w:tcBorders>
            <w:vAlign w:val="center"/>
          </w:tcPr>
          <w:p w14:paraId="15549DAE" w14:textId="77777777" w:rsidR="00D40A47" w:rsidRPr="00D82796" w:rsidRDefault="00D40A47" w:rsidP="00DB1117">
            <w:pPr>
              <w:spacing w:after="0" w:line="240" w:lineRule="auto"/>
              <w:jc w:val="right"/>
              <w:rPr>
                <w:rFonts w:ascii="Times New Roman" w:hAnsi="Times New Roman" w:cs="Times New Roman"/>
                <w:sz w:val="20"/>
                <w:szCs w:val="20"/>
              </w:rPr>
            </w:pPr>
            <w:r w:rsidRPr="00D82796">
              <w:rPr>
                <w:rFonts w:ascii="Times New Roman" w:hAnsi="Times New Roman" w:cs="Times New Roman"/>
                <w:sz w:val="20"/>
                <w:szCs w:val="20"/>
              </w:rPr>
              <w:t>Age of mother at first birth</w:t>
            </w:r>
          </w:p>
          <w:p w14:paraId="6A31C9EA" w14:textId="77777777" w:rsidR="00D40A47" w:rsidRPr="00D82796" w:rsidRDefault="00D40A47" w:rsidP="00DB1117">
            <w:pPr>
              <w:autoSpaceDE w:val="0"/>
              <w:autoSpaceDN w:val="0"/>
              <w:adjustRightInd w:val="0"/>
              <w:spacing w:after="0" w:line="240" w:lineRule="auto"/>
              <w:jc w:val="right"/>
              <w:rPr>
                <w:rFonts w:ascii="Times New Roman" w:hAnsi="Times New Roman" w:cs="Times New Roman"/>
                <w:sz w:val="20"/>
                <w:szCs w:val="20"/>
              </w:rPr>
            </w:pPr>
          </w:p>
        </w:tc>
        <w:tc>
          <w:tcPr>
            <w:tcW w:w="2295" w:type="dxa"/>
          </w:tcPr>
          <w:p w14:paraId="131C0E92"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proofErr w:type="gramStart"/>
            <w:r w:rsidRPr="00D82796">
              <w:rPr>
                <w:rFonts w:ascii="Times New Roman" w:hAnsi="Times New Roman" w:cs="Times New Roman"/>
                <w:sz w:val="20"/>
                <w:szCs w:val="20"/>
              </w:rPr>
              <w:lastRenderedPageBreak/>
              <w:t>&lt;  20</w:t>
            </w:r>
            <w:proofErr w:type="gramEnd"/>
            <w:r w:rsidRPr="00D82796">
              <w:rPr>
                <w:rFonts w:ascii="Times New Roman" w:hAnsi="Times New Roman" w:cs="Times New Roman"/>
                <w:sz w:val="20"/>
                <w:szCs w:val="20"/>
              </w:rPr>
              <w:t xml:space="preserve"> (0)</w:t>
            </w:r>
          </w:p>
        </w:tc>
        <w:tc>
          <w:tcPr>
            <w:tcW w:w="1351" w:type="dxa"/>
          </w:tcPr>
          <w:p w14:paraId="3667B47B"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6139 (64.7)</w:t>
            </w:r>
          </w:p>
        </w:tc>
      </w:tr>
      <w:tr w:rsidR="00D40A47" w:rsidRPr="00D82796" w14:paraId="0943C4A1" w14:textId="77777777" w:rsidTr="00DB1117">
        <w:trPr>
          <w:cantSplit/>
          <w:jc w:val="center"/>
        </w:trPr>
        <w:tc>
          <w:tcPr>
            <w:tcW w:w="1982" w:type="dxa"/>
            <w:vMerge/>
            <w:shd w:val="clear" w:color="auto" w:fill="FFFFFF" w:themeFill="background1"/>
            <w:vAlign w:val="center"/>
          </w:tcPr>
          <w:p w14:paraId="2D2DE5F9"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54DC5B25"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2 (1)</w:t>
            </w:r>
          </w:p>
        </w:tc>
        <w:tc>
          <w:tcPr>
            <w:tcW w:w="1350" w:type="dxa"/>
            <w:tcBorders>
              <w:right w:val="single" w:sz="4" w:space="0" w:color="auto"/>
            </w:tcBorders>
            <w:shd w:val="clear" w:color="auto" w:fill="FFFFFF" w:themeFill="background1"/>
          </w:tcPr>
          <w:p w14:paraId="24A1848B"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2651(27.9)</w:t>
            </w:r>
          </w:p>
        </w:tc>
        <w:tc>
          <w:tcPr>
            <w:tcW w:w="1845" w:type="dxa"/>
            <w:vMerge/>
            <w:tcBorders>
              <w:left w:val="single" w:sz="4" w:space="0" w:color="auto"/>
            </w:tcBorders>
            <w:vAlign w:val="center"/>
          </w:tcPr>
          <w:p w14:paraId="636683C3"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2295" w:type="dxa"/>
          </w:tcPr>
          <w:p w14:paraId="6ED9C3AD"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20-34 (1)</w:t>
            </w:r>
          </w:p>
        </w:tc>
        <w:tc>
          <w:tcPr>
            <w:tcW w:w="1351" w:type="dxa"/>
          </w:tcPr>
          <w:p w14:paraId="3334BD02"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3346 (35.2)</w:t>
            </w:r>
          </w:p>
        </w:tc>
      </w:tr>
      <w:tr w:rsidR="00D40A47" w:rsidRPr="00D82796" w14:paraId="30FC5ED3" w14:textId="77777777" w:rsidTr="00DB1117">
        <w:trPr>
          <w:cantSplit/>
          <w:jc w:val="center"/>
        </w:trPr>
        <w:tc>
          <w:tcPr>
            <w:tcW w:w="1982" w:type="dxa"/>
            <w:vMerge/>
            <w:shd w:val="clear" w:color="auto" w:fill="FFFFFF" w:themeFill="background1"/>
            <w:vAlign w:val="center"/>
          </w:tcPr>
          <w:p w14:paraId="07DB123C"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1980" w:type="dxa"/>
            <w:shd w:val="clear" w:color="auto" w:fill="FFFFFF" w:themeFill="background1"/>
          </w:tcPr>
          <w:p w14:paraId="7A572EAE"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3 or more (2)</w:t>
            </w:r>
          </w:p>
        </w:tc>
        <w:tc>
          <w:tcPr>
            <w:tcW w:w="1350" w:type="dxa"/>
            <w:tcBorders>
              <w:right w:val="single" w:sz="4" w:space="0" w:color="auto"/>
            </w:tcBorders>
            <w:shd w:val="clear" w:color="auto" w:fill="FFFFFF" w:themeFill="background1"/>
          </w:tcPr>
          <w:p w14:paraId="7DA6D3D3"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983 (10.4)</w:t>
            </w:r>
          </w:p>
        </w:tc>
        <w:tc>
          <w:tcPr>
            <w:tcW w:w="1845" w:type="dxa"/>
            <w:vMerge/>
            <w:tcBorders>
              <w:left w:val="single" w:sz="4" w:space="0" w:color="auto"/>
              <w:bottom w:val="single" w:sz="4" w:space="0" w:color="auto"/>
            </w:tcBorders>
            <w:vAlign w:val="center"/>
          </w:tcPr>
          <w:p w14:paraId="0419475B" w14:textId="77777777" w:rsidR="00D40A47" w:rsidRPr="00D82796" w:rsidRDefault="00D40A47" w:rsidP="00DB1117">
            <w:pPr>
              <w:autoSpaceDE w:val="0"/>
              <w:autoSpaceDN w:val="0"/>
              <w:adjustRightInd w:val="0"/>
              <w:spacing w:after="0" w:line="240" w:lineRule="auto"/>
              <w:rPr>
                <w:rFonts w:ascii="Times New Roman" w:hAnsi="Times New Roman" w:cs="Times New Roman"/>
                <w:sz w:val="20"/>
                <w:szCs w:val="20"/>
              </w:rPr>
            </w:pPr>
          </w:p>
        </w:tc>
        <w:tc>
          <w:tcPr>
            <w:tcW w:w="2295" w:type="dxa"/>
            <w:tcBorders>
              <w:bottom w:val="single" w:sz="4" w:space="0" w:color="auto"/>
            </w:tcBorders>
          </w:tcPr>
          <w:p w14:paraId="58D331B8" w14:textId="77777777" w:rsidR="00D40A47" w:rsidRPr="00D82796" w:rsidRDefault="00D40A47" w:rsidP="00DB1117">
            <w:pPr>
              <w:autoSpaceDE w:val="0"/>
              <w:autoSpaceDN w:val="0"/>
              <w:adjustRightInd w:val="0"/>
              <w:spacing w:after="0" w:line="240" w:lineRule="auto"/>
              <w:ind w:left="60" w:right="60"/>
              <w:rPr>
                <w:rFonts w:ascii="Times New Roman" w:hAnsi="Times New Roman" w:cs="Times New Roman"/>
                <w:sz w:val="20"/>
                <w:szCs w:val="20"/>
              </w:rPr>
            </w:pPr>
            <w:r w:rsidRPr="00D82796">
              <w:rPr>
                <w:rFonts w:ascii="Times New Roman" w:hAnsi="Times New Roman" w:cs="Times New Roman"/>
                <w:sz w:val="20"/>
                <w:szCs w:val="20"/>
              </w:rPr>
              <w:t>35-49 (2)</w:t>
            </w:r>
          </w:p>
        </w:tc>
        <w:tc>
          <w:tcPr>
            <w:tcW w:w="1351" w:type="dxa"/>
            <w:tcBorders>
              <w:bottom w:val="single" w:sz="4" w:space="0" w:color="auto"/>
            </w:tcBorders>
          </w:tcPr>
          <w:p w14:paraId="39273A82" w14:textId="77777777" w:rsidR="00D40A47" w:rsidRPr="00D82796" w:rsidRDefault="00D40A47" w:rsidP="00DB1117">
            <w:pPr>
              <w:autoSpaceDE w:val="0"/>
              <w:autoSpaceDN w:val="0"/>
              <w:adjustRightInd w:val="0"/>
              <w:spacing w:after="0" w:line="240" w:lineRule="auto"/>
              <w:ind w:left="60" w:right="60"/>
              <w:jc w:val="center"/>
              <w:rPr>
                <w:rFonts w:ascii="Times New Roman" w:hAnsi="Times New Roman" w:cs="Times New Roman"/>
                <w:sz w:val="20"/>
                <w:szCs w:val="20"/>
              </w:rPr>
            </w:pPr>
            <w:r w:rsidRPr="00D82796">
              <w:rPr>
                <w:rFonts w:ascii="Times New Roman" w:hAnsi="Times New Roman" w:cs="Times New Roman"/>
                <w:sz w:val="20"/>
                <w:szCs w:val="20"/>
              </w:rPr>
              <w:t>10 (0.1)</w:t>
            </w:r>
          </w:p>
        </w:tc>
      </w:tr>
    </w:tbl>
    <w:p w14:paraId="5CCE9712" w14:textId="77777777" w:rsidR="00D40A47" w:rsidRDefault="00D40A47" w:rsidP="00D40A47">
      <w:pPr>
        <w:autoSpaceDE w:val="0"/>
        <w:autoSpaceDN w:val="0"/>
        <w:adjustRightInd w:val="0"/>
        <w:spacing w:after="0" w:line="360" w:lineRule="auto"/>
        <w:jc w:val="both"/>
        <w:rPr>
          <w:rFonts w:ascii="Times New Roman" w:eastAsia="Times New Roman" w:hAnsi="Times New Roman" w:cs="Times New Roman"/>
          <w:b/>
          <w:bCs/>
          <w:sz w:val="26"/>
          <w:szCs w:val="26"/>
        </w:rPr>
      </w:pPr>
    </w:p>
    <w:p w14:paraId="7C86863F" w14:textId="77777777" w:rsidR="00D40A47" w:rsidRDefault="00D40A47" w:rsidP="00D40A47">
      <w:pPr>
        <w:autoSpaceDE w:val="0"/>
        <w:autoSpaceDN w:val="0"/>
        <w:adjustRightInd w:val="0"/>
        <w:spacing w:after="0" w:line="360" w:lineRule="auto"/>
        <w:jc w:val="both"/>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Statistics Analysis</w:t>
      </w:r>
      <w:bookmarkStart w:id="2" w:name="_Toc202699057"/>
      <w:bookmarkStart w:id="3" w:name="_Toc12237450"/>
      <w:bookmarkEnd w:id="0"/>
      <w:bookmarkEnd w:id="1"/>
    </w:p>
    <w:p w14:paraId="4FD910A1" w14:textId="77777777" w:rsidR="00D40A47" w:rsidRPr="00944EF3" w:rsidRDefault="00D40A47" w:rsidP="00D40A47">
      <w:pPr>
        <w:autoSpaceDE w:val="0"/>
        <w:autoSpaceDN w:val="0"/>
        <w:adjustRightInd w:val="0"/>
        <w:spacing w:after="0" w:line="360" w:lineRule="auto"/>
        <w:jc w:val="both"/>
        <w:rPr>
          <w:rFonts w:ascii="Times New Roman" w:eastAsia="Times New Roman" w:hAnsi="Times New Roman" w:cs="Times New Roman"/>
          <w:b/>
          <w:bCs/>
          <w:sz w:val="26"/>
          <w:szCs w:val="26"/>
        </w:rPr>
      </w:pPr>
      <w:r w:rsidRPr="00944EF3">
        <w:rPr>
          <w:rFonts w:ascii="Times New Roman" w:eastAsiaTheme="majorEastAsia" w:hAnsi="Times New Roman" w:cs="Times New Roman"/>
          <w:b/>
          <w:bCs/>
          <w:sz w:val="26"/>
          <w:szCs w:val="26"/>
        </w:rPr>
        <w:t>Ordinal Logistic Regression Model</w:t>
      </w:r>
      <w:bookmarkEnd w:id="2"/>
      <w:bookmarkEnd w:id="3"/>
    </w:p>
    <w:p w14:paraId="555FC023" w14:textId="77777777" w:rsidR="00D40A47" w:rsidRPr="00944EF3" w:rsidRDefault="00D40A47" w:rsidP="00D40A47">
      <w:pPr>
        <w:spacing w:after="0" w:line="360" w:lineRule="auto"/>
        <w:jc w:val="both"/>
        <w:rPr>
          <w:rFonts w:ascii="Times New Roman" w:eastAsia="Calibri" w:hAnsi="Times New Roman" w:cs="Times New Roman"/>
          <w:sz w:val="24"/>
          <w:szCs w:val="24"/>
        </w:rPr>
      </w:pPr>
      <w:r w:rsidRPr="00944EF3">
        <w:rPr>
          <w:rFonts w:ascii="Times New Roman" w:hAnsi="Times New Roman" w:cs="Times New Roman"/>
          <w:sz w:val="24"/>
          <w:szCs w:val="24"/>
        </w:rPr>
        <w:t xml:space="preserve">Logistic regression serves to model a categorical dependent variable as a function of one or more independent variables. The dependent variable may have two or more categories. When it has more than two categories, it may be ordered or unordered. </w:t>
      </w:r>
      <w:r w:rsidRPr="00944EF3">
        <w:rPr>
          <w:rFonts w:ascii="Times New Roman" w:eastAsia="Calibri" w:hAnsi="Times New Roman" w:cs="Times New Roman"/>
          <w:sz w:val="24"/>
          <w:szCs w:val="24"/>
        </w:rPr>
        <w:t>Proportional Odds Model is instrumental to model the ordinal dependent variable through defining the cumulative probabilities rather than the probability of an individual event.</w:t>
      </w:r>
      <w:r w:rsidRPr="00944EF3">
        <w:rPr>
          <w:rFonts w:ascii="Times New Roman" w:hAnsi="Times New Roman" w:cs="Times New Roman"/>
          <w:sz w:val="24"/>
          <w:szCs w:val="24"/>
        </w:rPr>
        <w:t xml:space="preserve"> The proportional odds model estimates the odds of being at or below a </w:t>
      </w:r>
      <w:proofErr w:type="gramStart"/>
      <w:r w:rsidRPr="00944EF3">
        <w:rPr>
          <w:rFonts w:ascii="Times New Roman" w:hAnsi="Times New Roman" w:cs="Times New Roman"/>
          <w:sz w:val="24"/>
          <w:szCs w:val="24"/>
        </w:rPr>
        <w:t>particular level</w:t>
      </w:r>
      <w:proofErr w:type="gramEnd"/>
      <w:r w:rsidRPr="00944EF3">
        <w:rPr>
          <w:rFonts w:ascii="Times New Roman" w:hAnsi="Times New Roman" w:cs="Times New Roman"/>
          <w:sz w:val="24"/>
          <w:szCs w:val="24"/>
        </w:rPr>
        <w:t xml:space="preserve"> of the response variable.</w:t>
      </w:r>
      <w:r w:rsidRPr="00944EF3">
        <w:rPr>
          <w:rFonts w:ascii="Times New Roman" w:eastAsia="Calibri" w:hAnsi="Times New Roman" w:cs="Times New Roman"/>
          <w:sz w:val="24"/>
          <w:szCs w:val="24"/>
        </w:rPr>
        <w:t xml:space="preserve"> It considers the probability of that event and all events before it. </w:t>
      </w:r>
      <w:r w:rsidRPr="00944EF3">
        <w:rPr>
          <w:rFonts w:ascii="Times New Roman" w:eastAsia="CMR10" w:hAnsi="Times New Roman" w:cs="Times New Roman"/>
          <w:sz w:val="24"/>
          <w:szCs w:val="24"/>
        </w:rPr>
        <w:t xml:space="preserve">The proportional odds model is the default ordinal logistic regression type provided by statistical software </w:t>
      </w:r>
      <w:r w:rsidRPr="00944EF3">
        <w:rPr>
          <w:rFonts w:ascii="Times New Roman" w:eastAsia="CMR10" w:hAnsi="Times New Roman" w:cs="Times New Roman"/>
          <w:sz w:val="24"/>
          <w:szCs w:val="24"/>
        </w:rPr>
        <w:fldChar w:fldCharType="begin"/>
      </w:r>
      <w:r w:rsidRPr="00944EF3">
        <w:rPr>
          <w:rFonts w:ascii="Times New Roman" w:eastAsia="CMR10" w:hAnsi="Times New Roman" w:cs="Times New Roman"/>
          <w:sz w:val="24"/>
          <w:szCs w:val="24"/>
        </w:rPr>
        <w:instrText xml:space="preserve"> ADDIN EN.CITE &lt;EndNote&gt;&lt;Cite&gt;&lt;Author&gt;Chatfield&lt;/Author&gt;&lt;Year&gt;2010&lt;/Year&gt;&lt;RecNum&gt;14&lt;/RecNum&gt;&lt;DisplayText&gt;[18, 19]&lt;/DisplayText&gt;&lt;record&gt;&lt;rec-number&gt;14&lt;/rec-number&gt;&lt;foreign-keys&gt;&lt;key app="EN" db-id="zwaxde5zbtfw95evpxn5e9rdz9wxxxrd2zta"&gt;14&lt;/key&gt;&lt;/foreign-keys&gt;&lt;ref-type name="Book"&gt;6&lt;/ref-type&gt;&lt;contributors&gt;&lt;authors&gt;&lt;author&gt;Chatfield, Chris&lt;/author&gt;&lt;author&gt;Zidek, Jim&lt;/author&gt;&lt;author&gt;Lindsey, Jim&lt;/author&gt;&lt;/authors&gt;&lt;/contributors&gt;&lt;titles&gt;&lt;title&gt;An introduction to generalized linear models&lt;/title&gt;&lt;/titles&gt;&lt;dates&gt;&lt;year&gt;2010&lt;/year&gt;&lt;/dates&gt;&lt;publisher&gt;Chapman and Hall/CRC&lt;/publisher&gt;&lt;isbn&gt;1420057685&lt;/isbn&gt;&lt;urls&gt;&lt;/urls&gt;&lt;/record&gt;&lt;/Cite&gt;&lt;Cite&gt;&lt;Author&gt;Guzman-Castillo&lt;/Author&gt;&lt;Year&gt;2015&lt;/Year&gt;&lt;RecNum&gt;13&lt;/RecNum&gt;&lt;record&gt;&lt;rec-number&gt;13&lt;/rec-number&gt;&lt;foreign-keys&gt;&lt;key app="EN" db-id="zwaxde5zbtfw95evpxn5e9rdz9wxxxrd2zta"&gt;13&lt;/key&gt;&lt;/foreign-keys&gt;&lt;ref-type name="Journal Article"&gt;17&lt;/ref-type&gt;&lt;contributors&gt;&lt;authors&gt;&lt;author&gt;Guzman-Castillo, Maria&lt;/author&gt;&lt;author&gt;Brailsford, Sally&lt;/author&gt;&lt;author&gt;Luke, Michelle&lt;/author&gt;&lt;author&gt;Smith, Honora&lt;/author&gt;&lt;/authors&gt;&lt;/contributors&gt;&lt;titles&gt;&lt;title&gt;A tutorial on selecting and interpreting predictive models for ordinal health-related outcomes&lt;/title&gt;&lt;secondary-title&gt;Health Services and Outcomes Research Methodology&lt;/secondary-title&gt;&lt;/titles&gt;&lt;periodical&gt;&lt;full-title&gt;Health Services and Outcomes Research Methodology&lt;/full-title&gt;&lt;/periodical&gt;&lt;pages&gt;223-240&lt;/pages&gt;&lt;volume&gt;15&lt;/volume&gt;&lt;number&gt;3-4&lt;/number&gt;&lt;dates&gt;&lt;year&gt;2015&lt;/year&gt;&lt;/dates&gt;&lt;isbn&gt;1387-3741&lt;/isbn&gt;&lt;urls&gt;&lt;/urls&gt;&lt;/record&gt;&lt;/Cite&gt;&lt;/EndNote&gt;</w:instrText>
      </w:r>
      <w:r w:rsidRPr="00944EF3">
        <w:rPr>
          <w:rFonts w:ascii="Times New Roman" w:eastAsia="CMR10" w:hAnsi="Times New Roman" w:cs="Times New Roman"/>
          <w:sz w:val="24"/>
          <w:szCs w:val="24"/>
        </w:rPr>
        <w:fldChar w:fldCharType="separate"/>
      </w:r>
      <w:r w:rsidRPr="00944EF3">
        <w:rPr>
          <w:rFonts w:ascii="Times New Roman" w:eastAsia="CMR10" w:hAnsi="Times New Roman" w:cs="Times New Roman"/>
          <w:noProof/>
          <w:sz w:val="24"/>
          <w:szCs w:val="24"/>
        </w:rPr>
        <w:t>[</w:t>
      </w:r>
      <w:hyperlink w:anchor="_ENREF_18" w:tooltip="Guzman-Castillo, 2015 #13" w:history="1">
        <w:r w:rsidRPr="00944EF3">
          <w:rPr>
            <w:rFonts w:ascii="Times New Roman" w:eastAsia="CMR10" w:hAnsi="Times New Roman" w:cs="Times New Roman"/>
            <w:noProof/>
            <w:sz w:val="24"/>
            <w:szCs w:val="24"/>
          </w:rPr>
          <w:t>18</w:t>
        </w:r>
      </w:hyperlink>
      <w:r w:rsidRPr="00944EF3">
        <w:rPr>
          <w:rFonts w:ascii="Times New Roman" w:eastAsia="CMR10" w:hAnsi="Times New Roman" w:cs="Times New Roman"/>
          <w:noProof/>
          <w:sz w:val="24"/>
          <w:szCs w:val="24"/>
        </w:rPr>
        <w:t xml:space="preserve">, </w:t>
      </w:r>
      <w:hyperlink w:anchor="_ENREF_19" w:tooltip="Chatfield, 2010 #14" w:history="1">
        <w:r w:rsidRPr="00944EF3">
          <w:rPr>
            <w:rFonts w:ascii="Times New Roman" w:eastAsia="CMR10" w:hAnsi="Times New Roman" w:cs="Times New Roman"/>
            <w:noProof/>
            <w:sz w:val="24"/>
            <w:szCs w:val="24"/>
          </w:rPr>
          <w:t>19</w:t>
        </w:r>
      </w:hyperlink>
      <w:r w:rsidRPr="00944EF3">
        <w:rPr>
          <w:rFonts w:ascii="Times New Roman" w:eastAsia="CMR10" w:hAnsi="Times New Roman" w:cs="Times New Roman"/>
          <w:noProof/>
          <w:sz w:val="24"/>
          <w:szCs w:val="24"/>
        </w:rPr>
        <w:t>]</w:t>
      </w:r>
      <w:r w:rsidRPr="00944EF3">
        <w:rPr>
          <w:rFonts w:ascii="Times New Roman" w:eastAsia="CMR10" w:hAnsi="Times New Roman" w:cs="Times New Roman"/>
          <w:sz w:val="24"/>
          <w:szCs w:val="24"/>
        </w:rPr>
        <w:fldChar w:fldCharType="end"/>
      </w:r>
      <w:r w:rsidRPr="00944EF3">
        <w:rPr>
          <w:rFonts w:ascii="Times New Roman" w:eastAsia="CMR10" w:hAnsi="Times New Roman" w:cs="Times New Roman"/>
          <w:sz w:val="24"/>
          <w:szCs w:val="24"/>
        </w:rPr>
        <w:t xml:space="preserve">. </w:t>
      </w:r>
      <w:r w:rsidRPr="00944EF3">
        <w:rPr>
          <w:rFonts w:ascii="Times New Roman" w:eastAsia="Calibri" w:hAnsi="Times New Roman" w:cs="Times New Roman"/>
          <w:sz w:val="24"/>
          <w:szCs w:val="24"/>
        </w:rPr>
        <w:t xml:space="preserve">The proportional odds model with the logit or log-odds of the first </w:t>
      </w:r>
      <m:oMath>
        <m:r>
          <w:rPr>
            <w:rFonts w:ascii="Cambria Math" w:eastAsia="Calibri" w:hAnsi="Cambria Math" w:cs="Times New Roman"/>
            <w:sz w:val="24"/>
            <w:szCs w:val="24"/>
          </w:rPr>
          <m:t>i</m:t>
        </m:r>
      </m:oMath>
      <w:r w:rsidRPr="00944EF3">
        <w:rPr>
          <w:rFonts w:ascii="Times New Roman" w:eastAsia="Calibri" w:hAnsi="Times New Roman" w:cs="Times New Roman"/>
          <w:sz w:val="24"/>
          <w:szCs w:val="24"/>
        </w:rPr>
        <w:t xml:space="preserve"> cumulative probabilities is modeled as a linear function of the explanatory variables as:</w:t>
      </w:r>
    </w:p>
    <w:p w14:paraId="555ADBC6" w14:textId="77777777" w:rsidR="00D40A47" w:rsidRPr="00944EF3" w:rsidRDefault="00D40A47" w:rsidP="00D40A47">
      <w:pPr>
        <w:spacing w:after="0" w:line="360" w:lineRule="auto"/>
        <w:jc w:val="center"/>
        <w:rPr>
          <w:rFonts w:ascii="Times New Roman" w:eastAsia="Calibri" w:hAnsi="Times New Roman" w:cs="Times New Roman"/>
          <w:sz w:val="24"/>
          <w:szCs w:val="24"/>
        </w:rPr>
      </w:pPr>
      <w:r w:rsidRPr="00944EF3">
        <w:rPr>
          <w:rFonts w:ascii="Times New Roman" w:eastAsia="Calibri" w:hAnsi="Times New Roman" w:cs="Times New Roman"/>
          <w:position w:val="-34"/>
          <w:sz w:val="24"/>
          <w:szCs w:val="24"/>
        </w:rPr>
        <w:object w:dxaOrig="8460" w:dyaOrig="800" w14:anchorId="6DAEEB25">
          <v:shape id="_x0000_i1026" type="#_x0000_t75" style="width:409.5pt;height:35.25pt" o:ole="">
            <v:imagedata r:id="rId6" o:title=""/>
          </v:shape>
          <o:OLEObject Type="Embed" ProgID="Equation.3" ShapeID="_x0000_i1026" DrawAspect="Content" ObjectID="_1646161820" r:id="rId7"/>
        </w:object>
      </w:r>
    </w:p>
    <w:p w14:paraId="19AE2BB3" w14:textId="77777777" w:rsidR="00D40A47" w:rsidRPr="00944EF3" w:rsidRDefault="00D40A47" w:rsidP="00D40A47">
      <w:pPr>
        <w:spacing w:after="0" w:line="360" w:lineRule="auto"/>
        <w:jc w:val="both"/>
        <w:rPr>
          <w:rFonts w:ascii="Times New Roman" w:eastAsia="Times New Roman" w:hAnsi="Times New Roman" w:cs="Times New Roman"/>
          <w:sz w:val="24"/>
          <w:szCs w:val="24"/>
        </w:rPr>
      </w:pPr>
      <w:r w:rsidRPr="00944EF3">
        <w:rPr>
          <w:rFonts w:ascii="Times New Roman" w:eastAsia="Times New Roman" w:hAnsi="Times New Roman" w:cs="Times New Roman"/>
          <w:sz w:val="24"/>
          <w:szCs w:val="24"/>
        </w:rPr>
        <w:t xml:space="preserve">If the proportional odds assumption </w:t>
      </w:r>
      <w:r w:rsidRPr="00944EF3">
        <w:rPr>
          <w:rFonts w:ascii="Times New Roman" w:eastAsia="Calibri" w:hAnsi="Times New Roman" w:cs="Times New Roman"/>
          <w:sz w:val="24"/>
          <w:szCs w:val="24"/>
        </w:rPr>
        <w:t>is not met, then</w:t>
      </w:r>
      <w:r w:rsidRPr="00944EF3">
        <w:rPr>
          <w:rFonts w:ascii="Times New Roman" w:eastAsia="Times New Roman" w:hAnsi="Times New Roman" w:cs="Times New Roman"/>
          <w:sz w:val="24"/>
          <w:szCs w:val="24"/>
        </w:rPr>
        <w:t xml:space="preserve"> different models are needed to describe the relationship between each pair of outcome groups </w:t>
      </w:r>
      <w:r w:rsidRPr="00944EF3">
        <w:rPr>
          <w:rFonts w:ascii="Times New Roman" w:eastAsia="Times New Roman" w:hAnsi="Times New Roman" w:cs="Times New Roman"/>
          <w:sz w:val="24"/>
          <w:szCs w:val="24"/>
        </w:rPr>
        <w:fldChar w:fldCharType="begin"/>
      </w:r>
      <w:r w:rsidRPr="00944EF3">
        <w:rPr>
          <w:rFonts w:ascii="Times New Roman" w:eastAsia="Times New Roman" w:hAnsi="Times New Roman" w:cs="Times New Roman"/>
          <w:sz w:val="24"/>
          <w:szCs w:val="24"/>
        </w:rPr>
        <w:instrText xml:space="preserve"> ADDIN EN.CITE &lt;EndNote&gt;&lt;Cite&gt;&lt;Author&gt;Long&lt;/Author&gt;&lt;Year&gt;2006&lt;/Year&gt;&lt;RecNum&gt;16&lt;/RecNum&gt;&lt;DisplayText&gt;[21]&lt;/DisplayText&gt;&lt;record&gt;&lt;rec-number&gt;16&lt;/rec-number&gt;&lt;foreign-keys&gt;&lt;key app="EN" db-id="zwaxde5zbtfw95evpxn5e9rdz9wxxxrd2zta"&gt;16&lt;/key&gt;&lt;/foreign-keys&gt;&lt;ref-type name="Book"&gt;6&lt;/ref-type&gt;&lt;contributors&gt;&lt;authors&gt;&lt;author&gt;Long, Scott J&lt;/author&gt;&lt;author&gt;Long, J Scott&lt;/author&gt;&lt;author&gt;Freese, Jeremy&lt;/author&gt;&lt;/authors&gt;&lt;/contributors&gt;&lt;titles&gt;&lt;title&gt;Regression models for categorical dependent variables using Stata&lt;/title&gt;&lt;/titles&gt;&lt;dates&gt;&lt;year&gt;2006&lt;/year&gt;&lt;/dates&gt;&lt;publisher&gt;Stata press&lt;/publisher&gt;&lt;isbn&gt;1597180114&lt;/isbn&gt;&lt;urls&gt;&lt;/urls&gt;&lt;/record&gt;&lt;/Cite&gt;&lt;/EndNote&gt;</w:instrText>
      </w:r>
      <w:r w:rsidRPr="00944EF3">
        <w:rPr>
          <w:rFonts w:ascii="Times New Roman" w:eastAsia="Times New Roman" w:hAnsi="Times New Roman" w:cs="Times New Roman"/>
          <w:sz w:val="24"/>
          <w:szCs w:val="24"/>
        </w:rPr>
        <w:fldChar w:fldCharType="separate"/>
      </w:r>
      <w:r w:rsidRPr="00944EF3">
        <w:rPr>
          <w:rFonts w:ascii="Times New Roman" w:eastAsia="Times New Roman" w:hAnsi="Times New Roman" w:cs="Times New Roman"/>
          <w:noProof/>
          <w:sz w:val="24"/>
          <w:szCs w:val="24"/>
        </w:rPr>
        <w:t>[</w:t>
      </w:r>
      <w:hyperlink w:anchor="_ENREF_21" w:tooltip="Long, 2006 #16" w:history="1">
        <w:r w:rsidRPr="00944EF3">
          <w:rPr>
            <w:rFonts w:ascii="Times New Roman" w:eastAsia="Times New Roman" w:hAnsi="Times New Roman" w:cs="Times New Roman"/>
            <w:noProof/>
            <w:sz w:val="24"/>
            <w:szCs w:val="24"/>
          </w:rPr>
          <w:t>21</w:t>
        </w:r>
      </w:hyperlink>
      <w:r w:rsidRPr="00944EF3">
        <w:rPr>
          <w:rFonts w:ascii="Times New Roman" w:eastAsia="Times New Roman" w:hAnsi="Times New Roman" w:cs="Times New Roman"/>
          <w:noProof/>
          <w:sz w:val="24"/>
          <w:szCs w:val="24"/>
        </w:rPr>
        <w:t>]</w:t>
      </w:r>
      <w:r w:rsidRPr="00944EF3">
        <w:rPr>
          <w:rFonts w:ascii="Times New Roman" w:eastAsia="Times New Roman" w:hAnsi="Times New Roman" w:cs="Times New Roman"/>
          <w:sz w:val="24"/>
          <w:szCs w:val="24"/>
        </w:rPr>
        <w:fldChar w:fldCharType="end"/>
      </w:r>
      <w:r w:rsidRPr="00944EF3">
        <w:rPr>
          <w:rFonts w:ascii="Times New Roman" w:eastAsia="Times New Roman" w:hAnsi="Times New Roman" w:cs="Times New Roman"/>
          <w:sz w:val="24"/>
          <w:szCs w:val="24"/>
        </w:rPr>
        <w:t>.</w:t>
      </w:r>
      <w:bookmarkStart w:id="4" w:name="_Toc12237452"/>
    </w:p>
    <w:p w14:paraId="49CF33AA" w14:textId="77777777" w:rsidR="00D40A47" w:rsidRPr="00944EF3" w:rsidRDefault="00D40A47" w:rsidP="00D40A47">
      <w:pPr>
        <w:spacing w:after="0" w:line="360" w:lineRule="auto"/>
        <w:jc w:val="both"/>
        <w:rPr>
          <w:rFonts w:ascii="Times New Roman" w:eastAsia="Times New Roman" w:hAnsi="Times New Roman" w:cs="Times New Roman"/>
          <w:sz w:val="24"/>
          <w:szCs w:val="24"/>
        </w:rPr>
      </w:pPr>
      <w:r w:rsidRPr="00944EF3">
        <w:rPr>
          <w:rFonts w:ascii="Times New Roman" w:eastAsiaTheme="majorEastAsia" w:hAnsi="Times New Roman" w:cs="Times New Roman"/>
          <w:b/>
          <w:bCs/>
          <w:sz w:val="26"/>
          <w:szCs w:val="26"/>
        </w:rPr>
        <w:t>Generalized Ordered Logit Model</w:t>
      </w:r>
      <w:bookmarkEnd w:id="4"/>
      <w:r w:rsidRPr="00944EF3">
        <w:rPr>
          <w:rFonts w:ascii="Times New Roman" w:eastAsiaTheme="majorEastAsia" w:hAnsi="Times New Roman" w:cs="Times New Roman"/>
          <w:b/>
          <w:bCs/>
          <w:sz w:val="26"/>
          <w:szCs w:val="26"/>
        </w:rPr>
        <w:t xml:space="preserve"> (GOLM)</w:t>
      </w:r>
    </w:p>
    <w:p w14:paraId="2CFDDF18" w14:textId="77777777" w:rsidR="00D40A47" w:rsidRPr="00944EF3" w:rsidRDefault="00D40A47" w:rsidP="00D40A47">
      <w:pPr>
        <w:spacing w:after="0" w:line="360" w:lineRule="auto"/>
        <w:jc w:val="both"/>
        <w:rPr>
          <w:rFonts w:ascii="Times New Roman" w:eastAsia="Times New Roman" w:hAnsi="Times New Roman" w:cs="Times New Roman"/>
          <w:sz w:val="24"/>
          <w:szCs w:val="24"/>
          <w:lang w:val="en-GB" w:eastAsia="en-GB"/>
        </w:rPr>
      </w:pPr>
      <w:r w:rsidRPr="00944EF3">
        <w:rPr>
          <w:rFonts w:ascii="Times New Roman" w:hAnsi="Times New Roman" w:cs="Times New Roman"/>
          <w:sz w:val="24"/>
          <w:szCs w:val="24"/>
        </w:rPr>
        <w:t>The proportional odds assumption (</w:t>
      </w:r>
      <w:r w:rsidRPr="00944EF3">
        <w:rPr>
          <w:rFonts w:ascii="Times New Roman" w:eastAsia="Calibri" w:hAnsi="Times New Roman" w:cs="Times New Roman"/>
          <w:b/>
          <w:sz w:val="24"/>
          <w:szCs w:val="24"/>
        </w:rPr>
        <w:t xml:space="preserve">β </w:t>
      </w:r>
      <w:r w:rsidRPr="00944EF3">
        <w:rPr>
          <w:rFonts w:ascii="Times New Roman" w:eastAsia="Calibri" w:hAnsi="Times New Roman" w:cs="Times New Roman"/>
          <w:sz w:val="24"/>
          <w:szCs w:val="24"/>
        </w:rPr>
        <w:t xml:space="preserve">is independent of response level) may be too strict and needs testing. </w:t>
      </w:r>
      <w:r w:rsidRPr="00944EF3">
        <w:rPr>
          <w:rFonts w:ascii="Times New Roman" w:hAnsi="Times New Roman" w:cs="Times New Roman"/>
          <w:sz w:val="24"/>
          <w:szCs w:val="24"/>
        </w:rPr>
        <w:t xml:space="preserve">The GOLM adopts the parallel lines assumption for all C outcome categories. It permits </w:t>
      </w:r>
      <w:r w:rsidRPr="00944EF3">
        <w:rPr>
          <w:rFonts w:ascii="Times New Roman" w:eastAsia="Times New Roman" w:hAnsi="Times New Roman" w:cs="Times New Roman"/>
          <w:sz w:val="24"/>
          <w:szCs w:val="24"/>
          <w:lang w:val="en-GB" w:eastAsia="en-GB"/>
        </w:rPr>
        <w:t>the slope coefficients to vary for each of C</w:t>
      </w:r>
      <w:r w:rsidRPr="00944EF3">
        <w:rPr>
          <w:rFonts w:ascii="Times New Roman" w:eastAsia="Times New Roman" w:hAnsi="Times New Roman" w:cs="Times New Roman"/>
          <w:iCs/>
          <w:sz w:val="24"/>
          <w:szCs w:val="24"/>
          <w:lang w:val="en-GB" w:eastAsia="en-GB"/>
        </w:rPr>
        <w:t>-1</w:t>
      </w:r>
      <w:r w:rsidRPr="00944EF3">
        <w:rPr>
          <w:rFonts w:ascii="Times New Roman" w:eastAsia="Times New Roman" w:hAnsi="Times New Roman" w:cs="Times New Roman"/>
          <w:sz w:val="24"/>
          <w:szCs w:val="24"/>
          <w:lang w:val="en-GB" w:eastAsia="en-GB"/>
        </w:rPr>
        <w:t xml:space="preserve"> binary regressions </w:t>
      </w:r>
      <w:r w:rsidRPr="00944EF3">
        <w:rPr>
          <w:rFonts w:ascii="Times New Roman" w:eastAsia="Times New Roman" w:hAnsi="Times New Roman" w:cs="Times New Roman"/>
          <w:sz w:val="24"/>
          <w:szCs w:val="24"/>
          <w:lang w:val="en-GB" w:eastAsia="en-GB"/>
        </w:rPr>
        <w:fldChar w:fldCharType="begin"/>
      </w:r>
      <w:r w:rsidRPr="00944EF3">
        <w:rPr>
          <w:rFonts w:ascii="Times New Roman" w:eastAsia="Times New Roman" w:hAnsi="Times New Roman" w:cs="Times New Roman"/>
          <w:sz w:val="24"/>
          <w:szCs w:val="24"/>
          <w:lang w:val="en-GB" w:eastAsia="en-GB"/>
        </w:rPr>
        <w:instrText xml:space="preserve"> ADDIN EN.CITE &lt;EndNote&gt;&lt;Cite&gt;&lt;Author&gt;Long&lt;/Author&gt;&lt;Year&gt;2006&lt;/Year&gt;&lt;RecNum&gt;16&lt;/RecNum&gt;&lt;DisplayText&gt;[21]&lt;/DisplayText&gt;&lt;record&gt;&lt;rec-number&gt;16&lt;/rec-number&gt;&lt;foreign-keys&gt;&lt;key app="EN" db-id="zwaxde5zbtfw95evpxn5e9rdz9wxxxrd2zta"&gt;16&lt;/key&gt;&lt;/foreign-keys&gt;&lt;ref-type name="Book"&gt;6&lt;/ref-type&gt;&lt;contributors&gt;&lt;authors&gt;&lt;author&gt;Long, Scott J&lt;/author&gt;&lt;author&gt;Long, J Scott&lt;/author&gt;&lt;author&gt;Freese, Jeremy&lt;/author&gt;&lt;/authors&gt;&lt;/contributors&gt;&lt;titles&gt;&lt;title&gt;Regression models for categorical dependent variables using Stata&lt;/title&gt;&lt;/titles&gt;&lt;dates&gt;&lt;year&gt;2006&lt;/year&gt;&lt;/dates&gt;&lt;publisher&gt;Stata press&lt;/publisher&gt;&lt;isbn&gt;1597180114&lt;/isbn&gt;&lt;urls&gt;&lt;/urls&gt;&lt;/record&gt;&lt;/Cite&gt;&lt;/EndNote&gt;</w:instrText>
      </w:r>
      <w:r w:rsidRPr="00944EF3">
        <w:rPr>
          <w:rFonts w:ascii="Times New Roman" w:eastAsia="Times New Roman" w:hAnsi="Times New Roman" w:cs="Times New Roman"/>
          <w:sz w:val="24"/>
          <w:szCs w:val="24"/>
          <w:lang w:val="en-GB" w:eastAsia="en-GB"/>
        </w:rPr>
        <w:fldChar w:fldCharType="separate"/>
      </w:r>
      <w:r w:rsidRPr="00944EF3">
        <w:rPr>
          <w:rFonts w:ascii="Times New Roman" w:eastAsia="Times New Roman" w:hAnsi="Times New Roman" w:cs="Times New Roman"/>
          <w:noProof/>
          <w:sz w:val="24"/>
          <w:szCs w:val="24"/>
          <w:lang w:val="en-GB" w:eastAsia="en-GB"/>
        </w:rPr>
        <w:t>[</w:t>
      </w:r>
      <w:hyperlink w:anchor="_ENREF_21" w:tooltip="Long, 2006 #16" w:history="1">
        <w:r w:rsidRPr="00944EF3">
          <w:rPr>
            <w:rFonts w:ascii="Times New Roman" w:eastAsia="Times New Roman" w:hAnsi="Times New Roman" w:cs="Times New Roman"/>
            <w:noProof/>
            <w:sz w:val="24"/>
            <w:szCs w:val="24"/>
            <w:lang w:val="en-GB" w:eastAsia="en-GB"/>
          </w:rPr>
          <w:t>21</w:t>
        </w:r>
      </w:hyperlink>
      <w:r w:rsidRPr="00944EF3">
        <w:rPr>
          <w:rFonts w:ascii="Times New Roman" w:eastAsia="Times New Roman" w:hAnsi="Times New Roman" w:cs="Times New Roman"/>
          <w:noProof/>
          <w:sz w:val="24"/>
          <w:szCs w:val="24"/>
          <w:lang w:val="en-GB" w:eastAsia="en-GB"/>
        </w:rPr>
        <w:t>]</w:t>
      </w:r>
      <w:r w:rsidRPr="00944EF3">
        <w:rPr>
          <w:rFonts w:ascii="Times New Roman" w:eastAsia="Times New Roman" w:hAnsi="Times New Roman" w:cs="Times New Roman"/>
          <w:sz w:val="24"/>
          <w:szCs w:val="24"/>
          <w:lang w:val="en-GB" w:eastAsia="en-GB"/>
        </w:rPr>
        <w:fldChar w:fldCharType="end"/>
      </w:r>
      <w:r w:rsidRPr="00944EF3">
        <w:rPr>
          <w:rFonts w:ascii="Times New Roman" w:eastAsia="Times New Roman" w:hAnsi="Times New Roman" w:cs="Times New Roman"/>
          <w:sz w:val="24"/>
          <w:szCs w:val="24"/>
          <w:lang w:val="en-GB" w:eastAsia="en-GB"/>
        </w:rPr>
        <w:t xml:space="preserve">. The GOLM holds the nature of the proportional odds model (POM) by considering concurrently the effects of a collection of independent variables through successive dichotomizations of the outcome </w:t>
      </w:r>
      <w:r w:rsidRPr="00944EF3">
        <w:rPr>
          <w:rFonts w:ascii="Times New Roman" w:eastAsia="Times New Roman" w:hAnsi="Times New Roman" w:cs="Times New Roman"/>
          <w:sz w:val="24"/>
          <w:szCs w:val="24"/>
          <w:lang w:val="en-GB" w:eastAsia="en-GB"/>
        </w:rPr>
        <w:fldChar w:fldCharType="begin"/>
      </w:r>
      <w:r w:rsidRPr="00944EF3">
        <w:rPr>
          <w:rFonts w:ascii="Times New Roman" w:eastAsia="Times New Roman" w:hAnsi="Times New Roman" w:cs="Times New Roman"/>
          <w:sz w:val="24"/>
          <w:szCs w:val="24"/>
          <w:lang w:val="en-GB" w:eastAsia="en-GB"/>
        </w:rPr>
        <w:instrText xml:space="preserve"> ADDIN EN.CITE &lt;EndNote&gt;&lt;Cite&gt;&lt;Author&gt;O&amp;apos;Connell&lt;/Author&gt;&lt;Year&gt;2010&lt;/Year&gt;&lt;RecNum&gt;22&lt;/RecNum&gt;&lt;DisplayText&gt;[27]&lt;/DisplayText&gt;&lt;record&gt;&lt;rec-number&gt;22&lt;/rec-number&gt;&lt;foreign-keys&gt;&lt;key app="EN" db-id="zwaxde5zbtfw95evpxn5e9rdz9wxxxrd2zta"&gt;22&lt;/key&gt;&lt;/foreign-keys&gt;&lt;ref-type name="Book"&gt;6&lt;/ref-type&gt;&lt;contributors&gt;&lt;authors&gt;&lt;author&gt;O&amp;apos;Connell, Ann A.&lt;/author&gt;&lt;/authors&gt;&lt;/contributors&gt;&lt;titles&gt;&lt;title&gt;Logistic regression models for ordinal response variables&lt;/title&gt;&lt;/titles&gt;&lt;dates&gt;&lt;year&gt;2010&lt;/year&gt;&lt;/dates&gt;&lt;pub-location&gt;Thousand Oaks&lt;/pub-location&gt;&lt;publisher&gt;Sage&lt;/publisher&gt;&lt;isbn&gt;0761929894 9780761929895&lt;/isbn&gt;&lt;urls&gt;&lt;/urls&gt;&lt;remote-database-name&gt;/z-wcorg/&lt;/remote-database-name&gt;&lt;remote-database-provider&gt;http://worldcat.org&lt;/remote-database-provider&gt;&lt;language&gt;Undetermined&lt;/language&gt;&lt;/record&gt;&lt;/Cite&gt;&lt;/EndNote&gt;</w:instrText>
      </w:r>
      <w:r w:rsidRPr="00944EF3">
        <w:rPr>
          <w:rFonts w:ascii="Times New Roman" w:eastAsia="Times New Roman" w:hAnsi="Times New Roman" w:cs="Times New Roman"/>
          <w:sz w:val="24"/>
          <w:szCs w:val="24"/>
          <w:lang w:val="en-GB" w:eastAsia="en-GB"/>
        </w:rPr>
        <w:fldChar w:fldCharType="separate"/>
      </w:r>
      <w:r w:rsidRPr="00944EF3">
        <w:rPr>
          <w:rFonts w:ascii="Times New Roman" w:eastAsia="Times New Roman" w:hAnsi="Times New Roman" w:cs="Times New Roman"/>
          <w:noProof/>
          <w:sz w:val="24"/>
          <w:szCs w:val="24"/>
          <w:lang w:val="en-GB" w:eastAsia="en-GB"/>
        </w:rPr>
        <w:t>[</w:t>
      </w:r>
      <w:hyperlink w:anchor="_ENREF_27" w:tooltip="O'Connell, 2010 #22" w:history="1">
        <w:r w:rsidRPr="00944EF3">
          <w:rPr>
            <w:rFonts w:ascii="Times New Roman" w:eastAsia="Times New Roman" w:hAnsi="Times New Roman" w:cs="Times New Roman"/>
            <w:noProof/>
            <w:sz w:val="24"/>
            <w:szCs w:val="24"/>
            <w:lang w:val="en-GB" w:eastAsia="en-GB"/>
          </w:rPr>
          <w:t>27</w:t>
        </w:r>
      </w:hyperlink>
      <w:r w:rsidRPr="00944EF3">
        <w:rPr>
          <w:rFonts w:ascii="Times New Roman" w:eastAsia="Times New Roman" w:hAnsi="Times New Roman" w:cs="Times New Roman"/>
          <w:noProof/>
          <w:sz w:val="24"/>
          <w:szCs w:val="24"/>
          <w:lang w:val="en-GB" w:eastAsia="en-GB"/>
        </w:rPr>
        <w:t>]</w:t>
      </w:r>
      <w:r w:rsidRPr="00944EF3">
        <w:rPr>
          <w:rFonts w:ascii="Times New Roman" w:eastAsia="Times New Roman" w:hAnsi="Times New Roman" w:cs="Times New Roman"/>
          <w:sz w:val="24"/>
          <w:szCs w:val="24"/>
          <w:lang w:val="en-GB" w:eastAsia="en-GB"/>
        </w:rPr>
        <w:fldChar w:fldCharType="end"/>
      </w:r>
      <w:r w:rsidRPr="00944EF3">
        <w:rPr>
          <w:rFonts w:ascii="Times New Roman" w:eastAsia="Times New Roman" w:hAnsi="Times New Roman" w:cs="Times New Roman"/>
          <w:sz w:val="24"/>
          <w:szCs w:val="24"/>
          <w:lang w:val="en-GB" w:eastAsia="en-GB"/>
        </w:rPr>
        <w:t xml:space="preserve">. </w:t>
      </w:r>
    </w:p>
    <w:p w14:paraId="2264697F" w14:textId="77777777" w:rsidR="00D40A47" w:rsidRPr="00944EF3" w:rsidRDefault="00D40A47" w:rsidP="00D40A47">
      <w:pPr>
        <w:keepNext/>
        <w:keepLines/>
        <w:spacing w:after="0" w:line="360" w:lineRule="auto"/>
        <w:jc w:val="both"/>
        <w:outlineLvl w:val="1"/>
        <w:rPr>
          <w:rFonts w:ascii="Times New Roman" w:eastAsiaTheme="majorEastAsia" w:hAnsi="Times New Roman" w:cs="Times New Roman"/>
          <w:b/>
          <w:bCs/>
          <w:sz w:val="26"/>
          <w:szCs w:val="26"/>
        </w:rPr>
      </w:pPr>
      <w:bookmarkStart w:id="5" w:name="_Toc324678614"/>
      <w:bookmarkStart w:id="6" w:name="_Toc324777335"/>
      <w:bookmarkStart w:id="7" w:name="_Toc324929844"/>
      <w:bookmarkStart w:id="8" w:name="_Toc324937954"/>
      <w:bookmarkStart w:id="9" w:name="_Toc324938901"/>
      <w:bookmarkStart w:id="10" w:name="_Toc325049216"/>
      <w:bookmarkStart w:id="11" w:name="_Toc12237453"/>
      <w:r w:rsidRPr="00944EF3">
        <w:rPr>
          <w:rFonts w:ascii="Times New Roman" w:eastAsiaTheme="majorEastAsia" w:hAnsi="Times New Roman" w:cs="Times New Roman"/>
          <w:b/>
          <w:bCs/>
          <w:sz w:val="26"/>
          <w:szCs w:val="26"/>
        </w:rPr>
        <w:t>Partial Proportional Odds Model</w:t>
      </w:r>
      <w:bookmarkEnd w:id="5"/>
      <w:bookmarkEnd w:id="6"/>
      <w:bookmarkEnd w:id="7"/>
      <w:bookmarkEnd w:id="8"/>
      <w:bookmarkEnd w:id="9"/>
      <w:bookmarkEnd w:id="10"/>
      <w:bookmarkEnd w:id="11"/>
      <w:r w:rsidRPr="00944EF3">
        <w:rPr>
          <w:rFonts w:ascii="Times New Roman" w:eastAsiaTheme="majorEastAsia" w:hAnsi="Times New Roman" w:cs="Times New Roman"/>
          <w:b/>
          <w:bCs/>
          <w:sz w:val="26"/>
          <w:szCs w:val="26"/>
        </w:rPr>
        <w:t xml:space="preserve"> (PPOM)</w:t>
      </w:r>
    </w:p>
    <w:p w14:paraId="012FF572" w14:textId="77777777" w:rsidR="00D40A47" w:rsidRPr="00944EF3" w:rsidRDefault="00D40A47" w:rsidP="00D40A47">
      <w:pPr>
        <w:spacing w:after="0" w:line="360" w:lineRule="auto"/>
        <w:jc w:val="both"/>
        <w:rPr>
          <w:rFonts w:ascii="Times New Roman" w:eastAsia="Times New Roman" w:hAnsi="Times New Roman" w:cs="Times New Roman"/>
          <w:sz w:val="24"/>
          <w:szCs w:val="24"/>
          <w:lang w:val="en-GB" w:eastAsia="en-GB"/>
        </w:rPr>
      </w:pPr>
      <w:r w:rsidRPr="00944EF3">
        <w:rPr>
          <w:rFonts w:ascii="Times New Roman" w:hAnsi="Times New Roman" w:cs="Times New Roman"/>
          <w:sz w:val="24"/>
          <w:szCs w:val="24"/>
        </w:rPr>
        <w:t xml:space="preserve">A partial proportional odds or non-proportional odds model relaxes the assumption of proportional odds. </w:t>
      </w:r>
      <w:r w:rsidRPr="00944EF3">
        <w:rPr>
          <w:rFonts w:ascii="Times New Roman" w:eastAsia="Calibri" w:hAnsi="Times New Roman" w:cs="Times New Roman"/>
          <w:sz w:val="24"/>
          <w:szCs w:val="24"/>
        </w:rPr>
        <w:t xml:space="preserve">When the proportional odd assumption applies does not apply to </w:t>
      </w:r>
      <w:proofErr w:type="gramStart"/>
      <w:r w:rsidRPr="00944EF3">
        <w:rPr>
          <w:rFonts w:ascii="Times New Roman" w:eastAsia="Calibri" w:hAnsi="Times New Roman" w:cs="Times New Roman"/>
          <w:sz w:val="24"/>
          <w:szCs w:val="24"/>
        </w:rPr>
        <w:t>all of</w:t>
      </w:r>
      <w:proofErr w:type="gramEnd"/>
      <w:r w:rsidRPr="00944EF3">
        <w:rPr>
          <w:rFonts w:ascii="Times New Roman" w:eastAsia="Calibri" w:hAnsi="Times New Roman" w:cs="Times New Roman"/>
          <w:sz w:val="24"/>
          <w:szCs w:val="24"/>
        </w:rPr>
        <w:t xml:space="preserve"> the covariates, the partial proportional odds model may be used. This model allows some co-variables to be modeled with the proportional odds assumption, but for variables where the assumption is not satisfied, the </w:t>
      </w:r>
      <w:r w:rsidRPr="00944EF3">
        <w:rPr>
          <w:rFonts w:ascii="Times New Roman" w:eastAsia="Calibri" w:hAnsi="Times New Roman" w:cs="Times New Roman"/>
          <w:sz w:val="24"/>
          <w:szCs w:val="24"/>
        </w:rPr>
        <w:lastRenderedPageBreak/>
        <w:t xml:space="preserve">effect associated with each </w:t>
      </w:r>
      <w:r w:rsidRPr="00944EF3">
        <w:rPr>
          <w:rFonts w:ascii="Times New Roman" w:eastAsia="Calibri" w:hAnsi="Times New Roman" w:cs="Times New Roman"/>
          <w:position w:val="-6"/>
          <w:sz w:val="24"/>
          <w:szCs w:val="24"/>
        </w:rPr>
        <w:object w:dxaOrig="260" w:dyaOrig="320" w14:anchorId="6A7FE16D">
          <v:shape id="_x0000_i1027" type="#_x0000_t75" style="width:14.25pt;height:21.75pt" o:ole="">
            <v:imagedata r:id="rId8" o:title=""/>
          </v:shape>
          <o:OLEObject Type="Embed" ProgID="Equation.3" ShapeID="_x0000_i1027" DrawAspect="Content" ObjectID="_1646161821" r:id="rId9"/>
        </w:object>
      </w:r>
      <w:r w:rsidRPr="00944EF3">
        <w:rPr>
          <w:rFonts w:ascii="Times New Roman" w:eastAsia="Calibri" w:hAnsi="Times New Roman" w:cs="Times New Roman"/>
          <w:sz w:val="24"/>
          <w:szCs w:val="24"/>
        </w:rPr>
        <w:t xml:space="preserve"> cumulative logit is increased by a coefficient</w:t>
      </w:r>
      <w:r w:rsidRPr="00944EF3">
        <w:rPr>
          <w:rFonts w:ascii="Times New Roman" w:eastAsia="Calibri" w:hAnsi="Times New Roman" w:cs="Times New Roman"/>
          <w:position w:val="-10"/>
          <w:sz w:val="24"/>
          <w:szCs w:val="24"/>
        </w:rPr>
        <w:object w:dxaOrig="380" w:dyaOrig="320" w14:anchorId="46F7FD85">
          <v:shape id="_x0000_i1028" type="#_x0000_t75" style="width:14.25pt;height:21.75pt" o:ole="">
            <v:imagedata r:id="rId10" o:title=""/>
          </v:shape>
          <o:OLEObject Type="Embed" ProgID="Equation.3" ShapeID="_x0000_i1028" DrawAspect="Content" ObjectID="_1646161822" r:id="rId11"/>
        </w:object>
      </w:r>
      <w:r w:rsidRPr="00944EF3">
        <w:rPr>
          <w:rFonts w:ascii="Times New Roman" w:eastAsia="Calibri" w:hAnsi="Times New Roman" w:cs="Times New Roman"/>
          <w:sz w:val="24"/>
          <w:szCs w:val="24"/>
        </w:rPr>
        <w:t xml:space="preserve">adjusted by the other co-variables. </w:t>
      </w:r>
      <w:r w:rsidRPr="00944EF3">
        <w:rPr>
          <w:rFonts w:ascii="Times New Roman" w:eastAsia="Times New Roman" w:hAnsi="Times New Roman" w:cs="Times New Roman"/>
          <w:sz w:val="24"/>
          <w:szCs w:val="24"/>
          <w:lang w:val="en-GB" w:eastAsia="en-GB"/>
        </w:rPr>
        <w:t xml:space="preserve">The PPOM as articulated by Peterson and Harrell </w:t>
      </w:r>
      <w:r w:rsidRPr="00944EF3">
        <w:rPr>
          <w:rFonts w:ascii="Times New Roman" w:eastAsia="Times New Roman" w:hAnsi="Times New Roman" w:cs="Times New Roman"/>
          <w:sz w:val="24"/>
          <w:szCs w:val="24"/>
          <w:lang w:val="en-GB" w:eastAsia="en-GB"/>
        </w:rPr>
        <w:fldChar w:fldCharType="begin"/>
      </w:r>
      <w:r w:rsidRPr="00944EF3">
        <w:rPr>
          <w:rFonts w:ascii="Times New Roman" w:eastAsia="Times New Roman" w:hAnsi="Times New Roman" w:cs="Times New Roman"/>
          <w:sz w:val="24"/>
          <w:szCs w:val="24"/>
          <w:lang w:val="en-GB" w:eastAsia="en-GB"/>
        </w:rPr>
        <w:instrText xml:space="preserve"> ADDIN EN.CITE &lt;EndNote&gt;&lt;Cite&gt;&lt;Author&gt;Peterson&lt;/Author&gt;&lt;Year&gt;1990&lt;/Year&gt;&lt;RecNum&gt;23&lt;/RecNum&gt;&lt;DisplayText&gt;[28]&lt;/DisplayText&gt;&lt;record&gt;&lt;rec-number&gt;23&lt;/rec-number&gt;&lt;foreign-keys&gt;&lt;key app="EN" db-id="zwaxde5zbtfw95evpxn5e9rdz9wxxxrd2zta"&gt;23&lt;/key&gt;&lt;/foreign-keys&gt;&lt;ref-type name="Journal Article"&gt;17&lt;/ref-type&gt;&lt;contributors&gt;&lt;authors&gt;&lt;author&gt;Peterson, Bercedis&lt;/author&gt;&lt;author&gt;Harrell, Frank&lt;/author&gt;&lt;/authors&gt;&lt;/contributors&gt;&lt;titles&gt;&lt;title&gt;Partial proportional odds models for ordinal response variables&lt;/title&gt;&lt;secondary-title&gt;Applied Statistics&lt;/secondary-title&gt;&lt;/titles&gt;&lt;periodical&gt;&lt;full-title&gt;Applied Statistics&lt;/full-title&gt;&lt;/periodical&gt;&lt;pages&gt;205-217&lt;/pages&gt;&lt;volume&gt;39&lt;/volume&gt;&lt;number&gt;2&lt;/number&gt;&lt;dates&gt;&lt;year&gt;1990&lt;/year&gt;&lt;/dates&gt;&lt;isbn&gt;0035-9254&lt;/isbn&gt;&lt;urls&gt;&lt;/urls&gt;&lt;/record&gt;&lt;/Cite&gt;&lt;/EndNote&gt;</w:instrText>
      </w:r>
      <w:r w:rsidRPr="00944EF3">
        <w:rPr>
          <w:rFonts w:ascii="Times New Roman" w:eastAsia="Times New Roman" w:hAnsi="Times New Roman" w:cs="Times New Roman"/>
          <w:sz w:val="24"/>
          <w:szCs w:val="24"/>
          <w:lang w:val="en-GB" w:eastAsia="en-GB"/>
        </w:rPr>
        <w:fldChar w:fldCharType="separate"/>
      </w:r>
      <w:r w:rsidRPr="00944EF3">
        <w:rPr>
          <w:rFonts w:ascii="Times New Roman" w:eastAsia="Times New Roman" w:hAnsi="Times New Roman" w:cs="Times New Roman"/>
          <w:noProof/>
          <w:sz w:val="24"/>
          <w:szCs w:val="24"/>
          <w:lang w:val="en-GB" w:eastAsia="en-GB"/>
        </w:rPr>
        <w:t>[</w:t>
      </w:r>
      <w:hyperlink w:anchor="_ENREF_28" w:tooltip="Peterson, 1990 #23" w:history="1">
        <w:r w:rsidRPr="00944EF3">
          <w:rPr>
            <w:rFonts w:ascii="Times New Roman" w:eastAsia="Times New Roman" w:hAnsi="Times New Roman" w:cs="Times New Roman"/>
            <w:noProof/>
            <w:sz w:val="24"/>
            <w:szCs w:val="24"/>
            <w:lang w:val="en-GB" w:eastAsia="en-GB"/>
          </w:rPr>
          <w:t>28</w:t>
        </w:r>
      </w:hyperlink>
      <w:r w:rsidRPr="00944EF3">
        <w:rPr>
          <w:rFonts w:ascii="Times New Roman" w:eastAsia="Times New Roman" w:hAnsi="Times New Roman" w:cs="Times New Roman"/>
          <w:noProof/>
          <w:sz w:val="24"/>
          <w:szCs w:val="24"/>
          <w:lang w:val="en-GB" w:eastAsia="en-GB"/>
        </w:rPr>
        <w:t>]</w:t>
      </w:r>
      <w:r w:rsidRPr="00944EF3">
        <w:rPr>
          <w:rFonts w:ascii="Times New Roman" w:eastAsia="Times New Roman" w:hAnsi="Times New Roman" w:cs="Times New Roman"/>
          <w:sz w:val="24"/>
          <w:szCs w:val="24"/>
          <w:lang w:val="en-GB" w:eastAsia="en-GB"/>
        </w:rPr>
        <w:fldChar w:fldCharType="end"/>
      </w:r>
      <w:r w:rsidRPr="00944EF3">
        <w:rPr>
          <w:rFonts w:ascii="Times New Roman" w:eastAsia="Times New Roman" w:hAnsi="Times New Roman" w:cs="Times New Roman"/>
          <w:sz w:val="24"/>
          <w:szCs w:val="24"/>
          <w:lang w:val="en-GB" w:eastAsia="en-GB"/>
        </w:rPr>
        <w:t xml:space="preserve"> imposes constraints for parallel lines only where they are needed. Thus, </w:t>
      </w:r>
      <w:r w:rsidRPr="00944EF3">
        <w:rPr>
          <w:rFonts w:ascii="Times New Roman" w:eastAsia="Calibri" w:hAnsi="Times New Roman" w:cs="Times New Roman"/>
          <w:sz w:val="24"/>
          <w:szCs w:val="24"/>
        </w:rPr>
        <w:t>in this study the PPOM was employed which is defined as:</w:t>
      </w:r>
      <w:r w:rsidRPr="00944EF3">
        <w:rPr>
          <w:rFonts w:ascii="Times New Roman" w:eastAsia="Times New Roman" w:hAnsi="Times New Roman" w:cs="Times New Roman"/>
          <w:position w:val="-30"/>
          <w:sz w:val="24"/>
          <w:szCs w:val="24"/>
          <w:lang w:val="en-GB" w:eastAsia="en-GB"/>
        </w:rPr>
        <w:object w:dxaOrig="4780" w:dyaOrig="720" w14:anchorId="32C5B8E0">
          <v:shape id="_x0000_i1029" type="#_x0000_t75" style="width:229.5pt;height:34.5pt" o:ole="">
            <v:imagedata r:id="rId12" o:title=""/>
          </v:shape>
          <o:OLEObject Type="Embed" ProgID="Equation.3" ShapeID="_x0000_i1029" DrawAspect="Content" ObjectID="_1646161823" r:id="rId13"/>
        </w:object>
      </w:r>
      <w:r w:rsidRPr="00944EF3">
        <w:rPr>
          <w:rFonts w:ascii="Times New Roman" w:eastAsia="Times New Roman" w:hAnsi="Times New Roman" w:cs="Times New Roman"/>
          <w:sz w:val="24"/>
          <w:szCs w:val="24"/>
          <w:lang w:val="en-GB" w:eastAsia="en-GB"/>
        </w:rPr>
        <w:t xml:space="preserve">, where </w:t>
      </w:r>
      <w:r w:rsidRPr="00944EF3">
        <w:rPr>
          <w:rFonts w:ascii="Times New Roman" w:eastAsia="Times New Roman" w:hAnsi="Times New Roman" w:cs="Times New Roman"/>
          <w:b/>
          <w:sz w:val="24"/>
          <w:szCs w:val="24"/>
          <w:lang w:val="en-GB" w:eastAsia="en-GB"/>
        </w:rPr>
        <w:t>x</w:t>
      </w:r>
      <w:r w:rsidRPr="00944EF3">
        <w:rPr>
          <w:rFonts w:ascii="Times New Roman" w:eastAsia="Times New Roman" w:hAnsi="Times New Roman" w:cs="Times New Roman"/>
          <w:sz w:val="24"/>
          <w:szCs w:val="24"/>
          <w:lang w:val="en-GB" w:eastAsia="en-GB"/>
        </w:rPr>
        <w:t xml:space="preserve"> is vector containing the full set of independent variables, </w:t>
      </w:r>
      <w:r w:rsidRPr="00944EF3">
        <w:rPr>
          <w:rFonts w:ascii="Times New Roman" w:eastAsia="Times New Roman" w:hAnsi="Times New Roman" w:cs="Times New Roman"/>
          <w:b/>
          <w:sz w:val="24"/>
          <w:szCs w:val="24"/>
          <w:lang w:val="en-GB" w:eastAsia="en-GB"/>
        </w:rPr>
        <w:t>τ</w:t>
      </w:r>
      <w:r w:rsidRPr="00944EF3">
        <w:rPr>
          <w:rFonts w:ascii="Times New Roman" w:eastAsia="Times New Roman" w:hAnsi="Times New Roman" w:cs="Times New Roman"/>
          <w:sz w:val="24"/>
          <w:szCs w:val="24"/>
          <w:lang w:val="en-GB" w:eastAsia="en-GB"/>
        </w:rPr>
        <w:t xml:space="preserve"> is a vector of subset independent variables that violate the parallel line assumption,  and</w:t>
      </w:r>
      <w:r w:rsidRPr="00944EF3">
        <w:rPr>
          <w:rFonts w:ascii="Times New Roman" w:eastAsia="Times New Roman" w:hAnsi="Times New Roman" w:cs="Times New Roman"/>
          <w:b/>
          <w:sz w:val="24"/>
          <w:szCs w:val="24"/>
          <w:lang w:val="en-GB" w:eastAsia="en-GB"/>
        </w:rPr>
        <w:t xml:space="preserve"> </w:t>
      </w:r>
      <w:proofErr w:type="spellStart"/>
      <w:r w:rsidRPr="00944EF3">
        <w:rPr>
          <w:rFonts w:ascii="Times New Roman" w:eastAsia="Times New Roman" w:hAnsi="Times New Roman" w:cs="Times New Roman"/>
          <w:b/>
          <w:sz w:val="24"/>
          <w:szCs w:val="24"/>
          <w:lang w:val="en-GB" w:eastAsia="en-GB"/>
        </w:rPr>
        <w:t>γ</w:t>
      </w:r>
      <w:r w:rsidRPr="00944EF3">
        <w:rPr>
          <w:rFonts w:ascii="Times New Roman" w:eastAsia="Times New Roman" w:hAnsi="Times New Roman" w:cs="Times New Roman"/>
          <w:b/>
          <w:sz w:val="24"/>
          <w:szCs w:val="24"/>
          <w:vertAlign w:val="subscript"/>
          <w:lang w:val="en-GB" w:eastAsia="en-GB"/>
        </w:rPr>
        <w:t>i</w:t>
      </w:r>
      <w:proofErr w:type="spellEnd"/>
      <w:r w:rsidRPr="00944EF3">
        <w:rPr>
          <w:rFonts w:ascii="Times New Roman" w:eastAsia="Times New Roman" w:hAnsi="Times New Roman" w:cs="Times New Roman"/>
          <w:sz w:val="24"/>
          <w:szCs w:val="24"/>
          <w:lang w:val="en-GB" w:eastAsia="en-GB"/>
        </w:rPr>
        <w:t xml:space="preserve"> the regression coefficients associated with </w:t>
      </w:r>
      <w:r w:rsidRPr="00944EF3">
        <w:rPr>
          <w:rFonts w:ascii="Times New Roman" w:eastAsia="Times New Roman" w:hAnsi="Times New Roman" w:cs="Times New Roman"/>
          <w:b/>
          <w:sz w:val="24"/>
          <w:szCs w:val="24"/>
          <w:lang w:val="en-GB" w:eastAsia="en-GB"/>
        </w:rPr>
        <w:t>τ</w:t>
      </w:r>
      <w:r w:rsidRPr="00944EF3">
        <w:rPr>
          <w:rFonts w:ascii="Times New Roman" w:eastAsia="Times New Roman" w:hAnsi="Times New Roman" w:cs="Times New Roman"/>
          <w:sz w:val="24"/>
          <w:szCs w:val="24"/>
          <w:lang w:val="en-GB" w:eastAsia="en-GB"/>
        </w:rPr>
        <w:t xml:space="preserve">.  The expected probabilities of belonging to a certain category are then defined by taking the exponential and rearranging the above equation in both </w:t>
      </w:r>
      <w:bookmarkStart w:id="12" w:name="_Toc12237458"/>
      <w:r w:rsidRPr="00944EF3">
        <w:rPr>
          <w:rFonts w:ascii="Times New Roman" w:eastAsia="Times New Roman" w:hAnsi="Times New Roman" w:cs="Times New Roman"/>
          <w:sz w:val="24"/>
          <w:szCs w:val="24"/>
          <w:lang w:val="en-GB" w:eastAsia="en-GB"/>
        </w:rPr>
        <w:t xml:space="preserve">sides. </w:t>
      </w:r>
    </w:p>
    <w:p w14:paraId="27E7D4C2" w14:textId="77777777" w:rsidR="00D40A47" w:rsidRPr="00944EF3" w:rsidRDefault="00D40A47" w:rsidP="00D40A47">
      <w:pPr>
        <w:spacing w:after="0" w:line="360" w:lineRule="auto"/>
        <w:jc w:val="both"/>
        <w:rPr>
          <w:rFonts w:ascii="Times New Roman" w:eastAsia="Times New Roman" w:hAnsi="Times New Roman" w:cs="Times New Roman"/>
          <w:sz w:val="24"/>
          <w:szCs w:val="24"/>
          <w:lang w:val="en-GB" w:eastAsia="en-GB"/>
        </w:rPr>
      </w:pPr>
      <w:r w:rsidRPr="00944EF3">
        <w:rPr>
          <w:rFonts w:ascii="Times New Roman" w:eastAsia="Times New Roman" w:hAnsi="Times New Roman" w:cs="Times New Roman"/>
          <w:b/>
          <w:bCs/>
          <w:sz w:val="24"/>
          <w:szCs w:val="24"/>
        </w:rPr>
        <w:t>Parameter Estimation</w:t>
      </w:r>
      <w:bookmarkEnd w:id="12"/>
    </w:p>
    <w:p w14:paraId="03D9CEC1" w14:textId="77777777" w:rsidR="00D40A47" w:rsidRPr="00944EF3" w:rsidRDefault="00D40A47" w:rsidP="00D40A47">
      <w:pPr>
        <w:spacing w:after="0" w:line="360" w:lineRule="auto"/>
        <w:jc w:val="both"/>
      </w:pPr>
      <w:r w:rsidRPr="00944EF3">
        <w:rPr>
          <w:rFonts w:ascii="Times New Roman" w:eastAsia="Times New Roman" w:hAnsi="Times New Roman" w:cs="Times New Roman"/>
          <w:sz w:val="24"/>
          <w:szCs w:val="24"/>
          <w:lang w:val="en-GB" w:eastAsia="en-GB"/>
        </w:rPr>
        <w:t xml:space="preserve">Both the models defined above were fitted to the data set using STATA (version 14). The variable selection was </w:t>
      </w:r>
      <w:proofErr w:type="gramStart"/>
      <w:r w:rsidRPr="00944EF3">
        <w:rPr>
          <w:rFonts w:ascii="Times New Roman" w:eastAsia="Times New Roman" w:hAnsi="Times New Roman" w:cs="Times New Roman"/>
          <w:sz w:val="24"/>
          <w:szCs w:val="24"/>
          <w:lang w:val="en-GB" w:eastAsia="en-GB"/>
        </w:rPr>
        <w:t>purposeful</w:t>
      </w:r>
      <w:proofErr w:type="gramEnd"/>
      <w:r w:rsidRPr="00944EF3">
        <w:rPr>
          <w:rFonts w:ascii="Times New Roman" w:eastAsia="Times New Roman" w:hAnsi="Times New Roman" w:cs="Times New Roman"/>
          <w:sz w:val="24"/>
          <w:szCs w:val="24"/>
          <w:lang w:val="en-GB" w:eastAsia="en-GB"/>
        </w:rPr>
        <w:t xml:space="preserve"> and the first step is used to assess the parallel assumption. Firstly, a </w:t>
      </w:r>
      <w:smartTag w:uri="urn:schemas-microsoft-com:office:smarttags" w:element="stockticker">
        <w:r w:rsidRPr="00944EF3">
          <w:rPr>
            <w:rFonts w:ascii="Times New Roman" w:eastAsia="Times New Roman" w:hAnsi="Times New Roman" w:cs="Times New Roman"/>
            <w:sz w:val="24"/>
            <w:szCs w:val="24"/>
            <w:lang w:val="en-GB" w:eastAsia="en-GB"/>
          </w:rPr>
          <w:t>POM</w:t>
        </w:r>
      </w:smartTag>
      <w:r w:rsidRPr="00944EF3">
        <w:rPr>
          <w:rFonts w:ascii="Times New Roman" w:eastAsia="Times New Roman" w:hAnsi="Times New Roman" w:cs="Times New Roman"/>
          <w:sz w:val="24"/>
          <w:szCs w:val="24"/>
          <w:lang w:val="en-GB" w:eastAsia="en-GB"/>
        </w:rPr>
        <w:t xml:space="preserve"> was fitted with command “</w:t>
      </w:r>
      <w:proofErr w:type="spellStart"/>
      <w:r w:rsidRPr="00944EF3">
        <w:rPr>
          <w:rFonts w:ascii="Times New Roman" w:eastAsia="Times New Roman" w:hAnsi="Times New Roman" w:cs="Times New Roman"/>
          <w:sz w:val="24"/>
          <w:szCs w:val="24"/>
          <w:lang w:val="en-GB" w:eastAsia="en-GB"/>
        </w:rPr>
        <w:t>ologit</w:t>
      </w:r>
      <w:proofErr w:type="spellEnd"/>
      <w:r w:rsidRPr="00944EF3">
        <w:rPr>
          <w:rFonts w:ascii="Times New Roman" w:eastAsia="Times New Roman" w:hAnsi="Times New Roman" w:cs="Times New Roman"/>
          <w:sz w:val="24"/>
          <w:szCs w:val="24"/>
          <w:lang w:val="en-GB" w:eastAsia="en-GB"/>
        </w:rPr>
        <w:t xml:space="preserve">” and then the “Brant” test was performed to evaluate the parallel assumption. This test is used to compares the coefficients of beta from </w:t>
      </w:r>
      <w:r w:rsidRPr="00944EF3">
        <w:rPr>
          <w:rFonts w:ascii="Times New Roman" w:eastAsia="Times New Roman" w:hAnsi="Times New Roman" w:cs="Times New Roman"/>
          <w:i/>
          <w:sz w:val="24"/>
          <w:szCs w:val="24"/>
          <w:lang w:val="en-GB" w:eastAsia="en-GB"/>
        </w:rPr>
        <w:t xml:space="preserve">C-1 </w:t>
      </w:r>
      <w:r w:rsidRPr="00944EF3">
        <w:rPr>
          <w:rFonts w:ascii="Times New Roman" w:eastAsia="Times New Roman" w:hAnsi="Times New Roman" w:cs="Times New Roman"/>
          <w:sz w:val="24"/>
          <w:szCs w:val="24"/>
          <w:lang w:val="en-GB" w:eastAsia="en-GB"/>
        </w:rPr>
        <w:t>binary logits and gives a list of variables violated the parallel assumption. The command “</w:t>
      </w:r>
      <w:r w:rsidRPr="00944EF3">
        <w:rPr>
          <w:rFonts w:ascii="Times New Roman" w:eastAsia="Times New Roman" w:hAnsi="Times New Roman" w:cs="Times New Roman"/>
          <w:b/>
          <w:sz w:val="24"/>
          <w:szCs w:val="24"/>
          <w:lang w:val="en-GB" w:eastAsia="en-GB"/>
        </w:rPr>
        <w:t>gologit2</w:t>
      </w:r>
      <w:r w:rsidRPr="00944EF3">
        <w:rPr>
          <w:rFonts w:ascii="Times New Roman" w:eastAsia="Times New Roman" w:hAnsi="Times New Roman" w:cs="Times New Roman"/>
          <w:sz w:val="24"/>
          <w:szCs w:val="24"/>
          <w:lang w:val="en-GB" w:eastAsia="en-GB"/>
        </w:rPr>
        <w:t xml:space="preserve">” was used to estimate the GOLM. The PPOM used to be estimated the usage of the </w:t>
      </w:r>
      <w:r w:rsidRPr="00944EF3">
        <w:rPr>
          <w:rFonts w:ascii="Times New Roman" w:eastAsia="Times New Roman" w:hAnsi="Times New Roman" w:cs="Times New Roman"/>
          <w:b/>
          <w:sz w:val="24"/>
          <w:szCs w:val="24"/>
          <w:lang w:val="en-GB" w:eastAsia="en-GB"/>
        </w:rPr>
        <w:t>gologit2</w:t>
      </w:r>
      <w:r w:rsidRPr="00944EF3">
        <w:rPr>
          <w:rFonts w:ascii="Times New Roman" w:eastAsia="Times New Roman" w:hAnsi="Times New Roman" w:cs="Times New Roman"/>
          <w:sz w:val="24"/>
          <w:szCs w:val="24"/>
          <w:lang w:val="en-GB" w:eastAsia="en-GB"/>
        </w:rPr>
        <w:t xml:space="preserve"> command with the </w:t>
      </w:r>
      <w:r w:rsidRPr="00944EF3">
        <w:rPr>
          <w:rFonts w:ascii="Times New Roman" w:eastAsia="Times New Roman" w:hAnsi="Times New Roman" w:cs="Times New Roman"/>
          <w:b/>
          <w:sz w:val="24"/>
          <w:szCs w:val="24"/>
          <w:lang w:val="en-GB" w:eastAsia="en-GB"/>
        </w:rPr>
        <w:t>autofit</w:t>
      </w:r>
      <w:r w:rsidRPr="00944EF3">
        <w:rPr>
          <w:rFonts w:ascii="Times New Roman" w:eastAsia="Times New Roman" w:hAnsi="Times New Roman" w:cs="Times New Roman"/>
          <w:sz w:val="24"/>
          <w:szCs w:val="24"/>
          <w:lang w:val="en-GB" w:eastAsia="en-GB"/>
        </w:rPr>
        <w:t xml:space="preserve"> choice to impose constraints on the variables where the parallel assumption was not violated </w:t>
      </w:r>
      <w:r w:rsidRPr="00944EF3">
        <w:rPr>
          <w:rFonts w:ascii="Times New Roman" w:eastAsia="Times New Roman" w:hAnsi="Times New Roman" w:cs="Times New Roman"/>
          <w:sz w:val="24"/>
          <w:szCs w:val="24"/>
          <w:lang w:val="en-GB" w:eastAsia="en-GB"/>
        </w:rPr>
        <w:fldChar w:fldCharType="begin"/>
      </w:r>
      <w:r w:rsidRPr="00944EF3">
        <w:rPr>
          <w:rFonts w:ascii="Times New Roman" w:eastAsia="Times New Roman" w:hAnsi="Times New Roman" w:cs="Times New Roman"/>
          <w:sz w:val="24"/>
          <w:szCs w:val="24"/>
          <w:lang w:val="en-GB" w:eastAsia="en-GB"/>
        </w:rPr>
        <w:instrText xml:space="preserve"> ADDIN EN.CITE &lt;EndNote&gt;&lt;Cite&gt;&lt;Author&gt;Williams&lt;/Author&gt;&lt;Year&gt;2006&lt;/Year&gt;&lt;RecNum&gt;53&lt;/RecNum&gt;&lt;DisplayText&gt;[29]&lt;/DisplayText&gt;&lt;record&gt;&lt;rec-number&gt;53&lt;/rec-number&gt;&lt;foreign-keys&gt;&lt;key app="EN" db-id="zwaxde5zbtfw95evpxn5e9rdz9wxxxrd2zta"&gt;53&lt;/key&gt;&lt;/foreign-keys&gt;&lt;ref-type name="Journal Article"&gt;17&lt;/ref-type&gt;&lt;contributors&gt;&lt;authors&gt;&lt;author&gt;Williams, Richard&lt;/author&gt;&lt;/authors&gt;&lt;/contributors&gt;&lt;titles&gt;&lt;title&gt;Generalized ordered logit/partial proportional odds models for ordinal dependent variables&lt;/title&gt;&lt;secondary-title&gt;The Stata Journal&lt;/secondary-title&gt;&lt;/titles&gt;&lt;periodical&gt;&lt;full-title&gt;The Stata Journal&lt;/full-title&gt;&lt;/periodical&gt;&lt;pages&gt;58-82&lt;/pages&gt;&lt;volume&gt;6&lt;/volume&gt;&lt;number&gt;1&lt;/number&gt;&lt;dates&gt;&lt;year&gt;2006&lt;/year&gt;&lt;/dates&gt;&lt;isbn&gt;1536-867X&lt;/isbn&gt;&lt;urls&gt;&lt;/urls&gt;&lt;/record&gt;&lt;/Cite&gt;&lt;/EndNote&gt;</w:instrText>
      </w:r>
      <w:r w:rsidRPr="00944EF3">
        <w:rPr>
          <w:rFonts w:ascii="Times New Roman" w:eastAsia="Times New Roman" w:hAnsi="Times New Roman" w:cs="Times New Roman"/>
          <w:sz w:val="24"/>
          <w:szCs w:val="24"/>
          <w:lang w:val="en-GB" w:eastAsia="en-GB"/>
        </w:rPr>
        <w:fldChar w:fldCharType="separate"/>
      </w:r>
      <w:r w:rsidRPr="00944EF3">
        <w:rPr>
          <w:rFonts w:ascii="Times New Roman" w:eastAsia="Times New Roman" w:hAnsi="Times New Roman" w:cs="Times New Roman"/>
          <w:noProof/>
          <w:sz w:val="24"/>
          <w:szCs w:val="24"/>
          <w:lang w:val="en-GB" w:eastAsia="en-GB"/>
        </w:rPr>
        <w:t>[</w:t>
      </w:r>
      <w:hyperlink w:anchor="_ENREF_29" w:tooltip="Williams, 2006 #53" w:history="1">
        <w:r w:rsidRPr="00944EF3">
          <w:rPr>
            <w:rFonts w:ascii="Times New Roman" w:eastAsia="Times New Roman" w:hAnsi="Times New Roman" w:cs="Times New Roman"/>
            <w:noProof/>
            <w:sz w:val="24"/>
            <w:szCs w:val="24"/>
            <w:lang w:val="en-GB" w:eastAsia="en-GB"/>
          </w:rPr>
          <w:t>29</w:t>
        </w:r>
      </w:hyperlink>
      <w:r w:rsidRPr="00944EF3">
        <w:rPr>
          <w:rFonts w:ascii="Times New Roman" w:eastAsia="Times New Roman" w:hAnsi="Times New Roman" w:cs="Times New Roman"/>
          <w:noProof/>
          <w:sz w:val="24"/>
          <w:szCs w:val="24"/>
          <w:lang w:val="en-GB" w:eastAsia="en-GB"/>
        </w:rPr>
        <w:t>]</w:t>
      </w:r>
      <w:r w:rsidRPr="00944EF3">
        <w:rPr>
          <w:rFonts w:ascii="Times New Roman" w:eastAsia="Times New Roman" w:hAnsi="Times New Roman" w:cs="Times New Roman"/>
          <w:sz w:val="24"/>
          <w:szCs w:val="24"/>
          <w:lang w:val="en-GB" w:eastAsia="en-GB"/>
        </w:rPr>
        <w:fldChar w:fldCharType="end"/>
      </w:r>
      <w:r w:rsidRPr="00944EF3">
        <w:rPr>
          <w:rFonts w:ascii="Times New Roman" w:eastAsia="Times New Roman" w:hAnsi="Times New Roman" w:cs="Times New Roman"/>
          <w:sz w:val="24"/>
          <w:szCs w:val="24"/>
          <w:lang w:val="en-GB" w:eastAsia="en-GB"/>
        </w:rPr>
        <w:t>.</w:t>
      </w:r>
    </w:p>
    <w:p w14:paraId="55DD6A89" w14:textId="77777777" w:rsidR="00D40A47" w:rsidRPr="00944EF3" w:rsidRDefault="00D40A47" w:rsidP="00D40A47">
      <w:pPr>
        <w:spacing w:after="0" w:line="360" w:lineRule="auto"/>
        <w:jc w:val="both"/>
        <w:rPr>
          <w:rFonts w:ascii="Times New Roman" w:eastAsia="Calibri" w:hAnsi="Times New Roman" w:cs="Times New Roman"/>
          <w:sz w:val="24"/>
          <w:szCs w:val="24"/>
        </w:rPr>
      </w:pPr>
      <w:r w:rsidRPr="00944EF3">
        <w:rPr>
          <w:rFonts w:ascii="Times New Roman" w:eastAsia="Times New Roman" w:hAnsi="Times New Roman" w:cs="Times New Roman"/>
          <w:sz w:val="24"/>
          <w:szCs w:val="24"/>
          <w:lang w:val="en-GB" w:eastAsia="en-GB"/>
        </w:rPr>
        <w:t xml:space="preserve">All the ordinal logistic models are estimated via the technique of MLE. ML estimates are values of the parameters that have the ML of producing the observed sample. </w:t>
      </w:r>
      <w:r w:rsidRPr="00944EF3">
        <w:rPr>
          <w:rFonts w:ascii="Times New Roman" w:eastAsia="Calibri" w:hAnsi="Times New Roman" w:cs="Times New Roman"/>
          <w:sz w:val="24"/>
          <w:szCs w:val="24"/>
        </w:rPr>
        <w:t>The likelihood equations lead to the unknown parameters in a non-linear function. The ordinal logistic regression model is fitted to the observed responses using the maximum likelihood approach. In general, the method of maximum likelihood produces values of the unknown parameters that best match the predicted and observed probability values.</w:t>
      </w:r>
      <w:bookmarkStart w:id="13" w:name="_Toc428191318"/>
      <w:bookmarkStart w:id="14" w:name="_Toc12237459"/>
      <w:bookmarkStart w:id="15" w:name="_Toc202699063"/>
      <w:bookmarkStart w:id="16" w:name="_Toc353617236"/>
      <w:bookmarkStart w:id="17" w:name="_Toc353463743"/>
      <w:bookmarkStart w:id="18" w:name="_Toc350697557"/>
      <w:bookmarkStart w:id="19" w:name="_Toc350416722"/>
    </w:p>
    <w:p w14:paraId="2A4CF69B" w14:textId="77777777" w:rsidR="00D40A47" w:rsidRPr="00944EF3" w:rsidRDefault="00D40A47" w:rsidP="00D40A47">
      <w:pPr>
        <w:spacing w:after="0" w:line="360" w:lineRule="auto"/>
        <w:jc w:val="both"/>
        <w:rPr>
          <w:rFonts w:ascii="Times New Roman" w:eastAsia="Times New Roman" w:hAnsi="Times New Roman" w:cs="Times New Roman"/>
          <w:sz w:val="24"/>
          <w:szCs w:val="24"/>
          <w:lang w:val="en-GB" w:eastAsia="en-GB"/>
        </w:rPr>
      </w:pPr>
      <w:r w:rsidRPr="00944EF3">
        <w:rPr>
          <w:rFonts w:ascii="Times New Roman" w:eastAsia="Times New Roman" w:hAnsi="Times New Roman" w:cs="Times New Roman"/>
          <w:b/>
          <w:bCs/>
          <w:sz w:val="24"/>
          <w:szCs w:val="24"/>
        </w:rPr>
        <w:t>Model selectio</w:t>
      </w:r>
      <w:bookmarkEnd w:id="13"/>
      <w:bookmarkEnd w:id="14"/>
      <w:bookmarkEnd w:id="15"/>
      <w:bookmarkEnd w:id="16"/>
      <w:bookmarkEnd w:id="17"/>
      <w:bookmarkEnd w:id="18"/>
      <w:bookmarkEnd w:id="19"/>
      <w:r w:rsidRPr="00944EF3">
        <w:rPr>
          <w:rFonts w:ascii="Times New Roman" w:eastAsia="Times New Roman" w:hAnsi="Times New Roman" w:cs="Times New Roman"/>
          <w:b/>
          <w:bCs/>
          <w:sz w:val="24"/>
          <w:szCs w:val="24"/>
        </w:rPr>
        <w:t>n</w:t>
      </w:r>
    </w:p>
    <w:p w14:paraId="659D5898" w14:textId="77777777" w:rsidR="00D40A47" w:rsidRPr="00944EF3" w:rsidRDefault="00D40A47" w:rsidP="00D40A47">
      <w:pPr>
        <w:spacing w:after="0" w:line="360" w:lineRule="auto"/>
        <w:jc w:val="both"/>
        <w:rPr>
          <w:rFonts w:ascii="Times New Roman" w:eastAsia="Calibri" w:hAnsi="Times New Roman" w:cs="Times New Roman"/>
          <w:sz w:val="24"/>
          <w:szCs w:val="24"/>
        </w:rPr>
      </w:pPr>
      <w:r w:rsidRPr="00944EF3">
        <w:rPr>
          <w:rFonts w:ascii="Times New Roman" w:eastAsia="Times New Roman" w:hAnsi="Times New Roman" w:cs="Times New Roman"/>
          <w:sz w:val="24"/>
          <w:szCs w:val="24"/>
          <w:lang w:val="en-GB" w:eastAsia="en-GB"/>
        </w:rPr>
        <w:t xml:space="preserve">To compare the ordinal logistic models, the log-likelihood were calculated, and the model with a higher log-likelihood is taken as a better-fitting one.  </w:t>
      </w:r>
      <w:r w:rsidRPr="00944EF3">
        <w:rPr>
          <w:rFonts w:ascii="Times New Roman" w:eastAsia="Calibri" w:hAnsi="Times New Roman" w:cs="Times New Roman"/>
          <w:sz w:val="24"/>
          <w:szCs w:val="24"/>
        </w:rPr>
        <w:t xml:space="preserve">Models  are compared based on the Akaike Information Criterion (AIC) and </w:t>
      </w:r>
      <w:proofErr w:type="spellStart"/>
      <w:r w:rsidRPr="00944EF3">
        <w:rPr>
          <w:rFonts w:ascii="Times New Roman" w:eastAsia="Calibri" w:hAnsi="Times New Roman" w:cs="Times New Roman"/>
          <w:sz w:val="24"/>
          <w:szCs w:val="24"/>
        </w:rPr>
        <w:t>Baye’s</w:t>
      </w:r>
      <w:proofErr w:type="spellEnd"/>
      <w:r w:rsidRPr="00944EF3">
        <w:rPr>
          <w:rFonts w:ascii="Times New Roman" w:eastAsia="Calibri" w:hAnsi="Times New Roman" w:cs="Times New Roman"/>
          <w:sz w:val="24"/>
          <w:szCs w:val="24"/>
        </w:rPr>
        <w:t xml:space="preserve"> Information Criterion (BIC) </w:t>
      </w:r>
      <w:r w:rsidRPr="00944EF3">
        <w:rPr>
          <w:rFonts w:ascii="Times New Roman" w:eastAsia="Calibri" w:hAnsi="Times New Roman" w:cs="Times New Roman"/>
          <w:sz w:val="24"/>
          <w:szCs w:val="24"/>
        </w:rPr>
        <w:fldChar w:fldCharType="begin"/>
      </w:r>
      <w:r w:rsidRPr="00944EF3">
        <w:rPr>
          <w:rFonts w:ascii="Times New Roman" w:eastAsia="Calibri" w:hAnsi="Times New Roman" w:cs="Times New Roman"/>
          <w:sz w:val="24"/>
          <w:szCs w:val="24"/>
        </w:rPr>
        <w:instrText xml:space="preserve"> ADDIN EN.CITE &lt;EndNote&gt;&lt;Cite&gt;&lt;Author&gt;Burnham&lt;/Author&gt;&lt;Year&gt;2004&lt;/Year&gt;&lt;RecNum&gt;27&lt;/RecNum&gt;&lt;DisplayText&gt;[30]&lt;/DisplayText&gt;&lt;record&gt;&lt;rec-number&gt;27&lt;/rec-number&gt;&lt;foreign-keys&gt;&lt;key app="EN" db-id="zwaxde5zbtfw95evpxn5e9rdz9wxxxrd2zta"&gt;27&lt;/key&gt;&lt;/foreign-keys&gt;&lt;ref-type name="Journal Article"&gt;17&lt;/ref-type&gt;&lt;contributors&gt;&lt;authors&gt;&lt;author&gt;Burnham, Kenneth P&lt;/author&gt;&lt;author&gt;Anderson, David R&lt;/author&gt;&lt;/authors&gt;&lt;/contributors&gt;&lt;titles&gt;&lt;title&gt;Multimodel inference: understanding AIC and BIC in model selection&lt;/title&gt;&lt;secondary-title&gt;Sociological methods &amp;amp; research&lt;/secondary-title&gt;&lt;/titles&gt;&lt;periodical&gt;&lt;full-title&gt;Sociological methods &amp;amp; research&lt;/full-title&gt;&lt;/periodical&gt;&lt;pages&gt;261-304&lt;/pages&gt;&lt;volume&gt;33&lt;/volume&gt;&lt;number&gt;2&lt;/number&gt;&lt;dates&gt;&lt;year&gt;2004&lt;/year&gt;&lt;/dates&gt;&lt;isbn&gt;0049-1241&lt;/isbn&gt;&lt;urls&gt;&lt;/urls&gt;&lt;/record&gt;&lt;/Cite&gt;&lt;/EndNote&gt;</w:instrText>
      </w:r>
      <w:r w:rsidRPr="00944EF3">
        <w:rPr>
          <w:rFonts w:ascii="Times New Roman" w:eastAsia="Calibri" w:hAnsi="Times New Roman" w:cs="Times New Roman"/>
          <w:sz w:val="24"/>
          <w:szCs w:val="24"/>
        </w:rPr>
        <w:fldChar w:fldCharType="separate"/>
      </w:r>
      <w:r w:rsidRPr="00944EF3">
        <w:rPr>
          <w:rFonts w:ascii="Times New Roman" w:eastAsia="Calibri" w:hAnsi="Times New Roman" w:cs="Times New Roman"/>
          <w:noProof/>
          <w:sz w:val="24"/>
          <w:szCs w:val="24"/>
        </w:rPr>
        <w:t>[</w:t>
      </w:r>
      <w:hyperlink w:anchor="_ENREF_30" w:tooltip="Burnham, 2004 #27" w:history="1">
        <w:r w:rsidRPr="00944EF3">
          <w:rPr>
            <w:rFonts w:ascii="Times New Roman" w:eastAsia="Calibri" w:hAnsi="Times New Roman" w:cs="Times New Roman"/>
            <w:noProof/>
            <w:sz w:val="24"/>
            <w:szCs w:val="24"/>
          </w:rPr>
          <w:t>30</w:t>
        </w:r>
      </w:hyperlink>
      <w:r w:rsidRPr="00944EF3">
        <w:rPr>
          <w:rFonts w:ascii="Times New Roman" w:eastAsia="Calibri" w:hAnsi="Times New Roman" w:cs="Times New Roman"/>
          <w:noProof/>
          <w:sz w:val="24"/>
          <w:szCs w:val="24"/>
        </w:rPr>
        <w:t>]</w:t>
      </w:r>
      <w:r w:rsidRPr="00944EF3">
        <w:rPr>
          <w:rFonts w:ascii="Times New Roman" w:eastAsia="Calibri" w:hAnsi="Times New Roman" w:cs="Times New Roman"/>
          <w:sz w:val="24"/>
          <w:szCs w:val="24"/>
        </w:rPr>
        <w:fldChar w:fldCharType="end"/>
      </w:r>
      <w:r w:rsidRPr="00944EF3">
        <w:rPr>
          <w:rFonts w:ascii="Times New Roman" w:eastAsia="Calibri" w:hAnsi="Times New Roman" w:cs="Times New Roman"/>
          <w:sz w:val="24"/>
          <w:szCs w:val="24"/>
        </w:rPr>
        <w:t xml:space="preserve"> and the models  </w:t>
      </w:r>
      <w:r w:rsidRPr="00944EF3">
        <w:rPr>
          <w:rFonts w:ascii="Times New Roman" w:eastAsia="Times New Roman" w:hAnsi="Times New Roman" w:cs="Times New Roman"/>
          <w:sz w:val="24"/>
          <w:szCs w:val="24"/>
          <w:lang w:val="en-GB" w:eastAsia="en-GB"/>
        </w:rPr>
        <w:t xml:space="preserve">with the smaller absolute AIC and BIC statistic are preferred. </w:t>
      </w:r>
      <w:r w:rsidRPr="00944EF3">
        <w:rPr>
          <w:rFonts w:ascii="Times New Roman" w:eastAsia="Calibri" w:hAnsi="Times New Roman" w:cs="Times New Roman"/>
          <w:sz w:val="24"/>
          <w:szCs w:val="24"/>
        </w:rPr>
        <w:t xml:space="preserve">The best model is selected from a set of competing models that has lowest value of AIC and BIC. </w:t>
      </w:r>
    </w:p>
    <w:p w14:paraId="605CB993" w14:textId="77777777" w:rsidR="00D40A47" w:rsidRDefault="00D40A47" w:rsidP="00D40A47">
      <w:pPr>
        <w:spacing w:after="0" w:line="360" w:lineRule="auto"/>
        <w:jc w:val="both"/>
        <w:rPr>
          <w:rFonts w:ascii="Times New Roman" w:eastAsia="Calibri" w:hAnsi="Times New Roman" w:cs="Times New Roman"/>
          <w:sz w:val="24"/>
          <w:szCs w:val="24"/>
        </w:rPr>
      </w:pPr>
      <w:r>
        <w:rPr>
          <w:rFonts w:ascii="Times New Roman" w:eastAsia="Times New Roman" w:hAnsi="Times New Roman" w:cs="Times New Roman"/>
          <w:b/>
          <w:bCs/>
          <w:sz w:val="24"/>
          <w:szCs w:val="24"/>
        </w:rPr>
        <w:t>Test of overall model fit</w:t>
      </w:r>
    </w:p>
    <w:p w14:paraId="60482DFE" w14:textId="77777777" w:rsidR="00D40A47" w:rsidRDefault="00D40A47" w:rsidP="00D40A47">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The null hypothesis for an overall model fit test may be stated as </w:t>
      </w:r>
      <w:r>
        <w:rPr>
          <w:rFonts w:ascii="Times New Roman" w:hAnsi="Times New Roman" w:cs="Times New Roman"/>
          <w:sz w:val="24"/>
          <w:szCs w:val="24"/>
        </w:rPr>
        <w:t xml:space="preserve">“all the regression parameters are zero” while the alternative hypothesis is “at least one regression coefficient (parameter) is not zero”. To keep use of the selected mode, significance of the individual parameters is examined; the null hypothesis must be rejected. In addition, </w:t>
      </w:r>
      <w:r>
        <w:rPr>
          <w:rFonts w:ascii="Times New Roman" w:eastAsia="Calibri" w:hAnsi="Times New Roman" w:cs="Times New Roman"/>
          <w:sz w:val="24"/>
          <w:szCs w:val="24"/>
        </w:rPr>
        <w:t xml:space="preserve">the goodness of fit of a model is tested by the deviance statistic </w:t>
      </w:r>
      <w:r>
        <w:rPr>
          <w:rFonts w:ascii="Times New Roman" w:eastAsia="Calibri" w:hAnsi="Times New Roman" w:cs="Times New Roman"/>
          <w:sz w:val="24"/>
          <w:szCs w:val="24"/>
        </w:rPr>
        <w:fldChar w:fldCharType="begin"/>
      </w:r>
      <w:r>
        <w:rPr>
          <w:rFonts w:ascii="Times New Roman" w:eastAsia="Calibri" w:hAnsi="Times New Roman" w:cs="Times New Roman"/>
          <w:sz w:val="24"/>
          <w:szCs w:val="24"/>
        </w:rPr>
        <w:instrText xml:space="preserve"> ADDIN EN.CITE &lt;EndNote&gt;&lt;Cite&gt;&lt;Author&gt;Wood&lt;/Author&gt;&lt;Year&gt;2017&lt;/Year&gt;&lt;RecNum&gt;48&lt;/RecNum&gt;&lt;DisplayText&gt;[31]&lt;/DisplayText&gt;&lt;record&gt;&lt;rec-number&gt;48&lt;/rec-number&gt;&lt;foreign-keys&gt;&lt;key app="EN" db-id="zwaxde5zbtfw95evpxn5e9rdz9wxxxrd2zta"&gt;48&lt;/key&gt;&lt;/foreign-keys&gt;&lt;ref-type name="Book"&gt;6&lt;/ref-type&gt;&lt;contributors&gt;&lt;authors&gt;&lt;author&gt;Wood, Simon N&lt;/author&gt;&lt;/authors&gt;&lt;/contributors&gt;&lt;titles&gt;&lt;title&gt;Generalized additive models: an introduction with R&lt;/title&gt;&lt;/titles&gt;&lt;dates&gt;&lt;year&gt;2017&lt;/year&gt;&lt;/dates&gt;&lt;publisher&gt;Chapman and Hall/CRC&lt;/publisher&gt;&lt;isbn&gt;1498728340&lt;/isbn&gt;&lt;urls&gt;&lt;/urls&gt;&lt;/record&gt;&lt;/Cite&gt;&lt;/EndNote&gt;</w:instrText>
      </w:r>
      <w:r>
        <w:rPr>
          <w:rFonts w:ascii="Times New Roman" w:eastAsia="Calibri" w:hAnsi="Times New Roman" w:cs="Times New Roman"/>
          <w:sz w:val="24"/>
          <w:szCs w:val="24"/>
        </w:rPr>
        <w:fldChar w:fldCharType="separate"/>
      </w:r>
      <w:r>
        <w:rPr>
          <w:rFonts w:ascii="Times New Roman" w:eastAsia="Calibri" w:hAnsi="Times New Roman" w:cs="Times New Roman"/>
          <w:noProof/>
          <w:sz w:val="24"/>
          <w:szCs w:val="24"/>
        </w:rPr>
        <w:t>[</w:t>
      </w:r>
      <w:hyperlink w:anchor="_ENREF_31" w:tooltip="Wood, 2017 #48" w:history="1">
        <w:r>
          <w:rPr>
            <w:rFonts w:ascii="Times New Roman" w:eastAsia="Calibri" w:hAnsi="Times New Roman" w:cs="Times New Roman"/>
            <w:noProof/>
            <w:sz w:val="24"/>
            <w:szCs w:val="24"/>
          </w:rPr>
          <w:t>31</w:t>
        </w:r>
      </w:hyperlink>
      <w:r>
        <w:rPr>
          <w:rFonts w:ascii="Times New Roman" w:eastAsia="Calibri" w:hAnsi="Times New Roman" w:cs="Times New Roman"/>
          <w:noProof/>
          <w:sz w:val="24"/>
          <w:szCs w:val="24"/>
        </w:rPr>
        <w:t>]</w:t>
      </w:r>
      <w:r>
        <w:rPr>
          <w:rFonts w:ascii="Times New Roman" w:eastAsia="Calibri" w:hAnsi="Times New Roman" w:cs="Times New Roman"/>
          <w:sz w:val="24"/>
          <w:szCs w:val="24"/>
        </w:rPr>
        <w:fldChar w:fldCharType="end"/>
      </w:r>
      <w:r>
        <w:rPr>
          <w:rFonts w:ascii="Times New Roman" w:eastAsia="Calibri" w:hAnsi="Times New Roman" w:cs="Times New Roman"/>
          <w:sz w:val="24"/>
          <w:szCs w:val="24"/>
        </w:rPr>
        <w:t>.</w:t>
      </w:r>
    </w:p>
    <w:p w14:paraId="6A4F4A42" w14:textId="77777777" w:rsidR="00E95803" w:rsidRDefault="00E95803">
      <w:bookmarkStart w:id="20" w:name="_GoBack"/>
      <w:bookmarkEnd w:id="20"/>
    </w:p>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MR10">
    <w:altName w:val="MS Mincho"/>
    <w:charset w:val="80"/>
    <w:family w:val="auto"/>
    <w:pitch w:val="default"/>
    <w:sig w:usb0="00000000" w:usb1="00000000" w:usb2="00000010" w:usb3="00000000" w:csb0="0002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A47"/>
    <w:rsid w:val="00D40A47"/>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0B629AF6"/>
  <w15:chartTrackingRefBased/>
  <w15:docId w15:val="{9B4F1C8B-8830-4044-AFDC-D6BA818AC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0A47"/>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qFormat/>
    <w:rsid w:val="00D40A47"/>
    <w:pPr>
      <w:spacing w:after="0" w:line="240" w:lineRule="auto"/>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D40A47"/>
    <w:pPr>
      <w:autoSpaceDE w:val="0"/>
      <w:autoSpaceDN w:val="0"/>
      <w:adjustRightInd w:val="0"/>
      <w:spacing w:after="0" w:line="240" w:lineRule="auto"/>
    </w:pPr>
    <w:rPr>
      <w:rFonts w:ascii="Times New Roman" w:eastAsiaTheme="minorEastAsia"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theme" Target="theme/theme1.xml"/><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2994</Words>
  <Characters>17067</Characters>
  <Application>Microsoft Office Word</Application>
  <DocSecurity>0</DocSecurity>
  <Lines>142</Lines>
  <Paragraphs>40</Paragraphs>
  <ScaleCrop>false</ScaleCrop>
  <Company/>
  <LinksUpToDate>false</LinksUpToDate>
  <CharactersWithSpaces>20021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2020-03-20T02:23:00Z</dcterms:created>
  <dcterms:modified xsi:type="dcterms:W3CDTF">2020-03-20T02:24:00Z</dcterms:modified>
</cp:coreProperties>
</file>